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740" w14:textId="2D864D96" w:rsidR="0019780D" w:rsidRPr="00CF392C" w:rsidRDefault="00E9706B" w:rsidP="00F228D5">
      <w:pPr>
        <w:pStyle w:val="Body"/>
        <w:jc w:val="both"/>
        <w:rPr>
          <w:rFonts w:cs="Times New Roman"/>
          <w:b/>
          <w:bCs/>
        </w:rPr>
      </w:pPr>
      <w:r>
        <w:rPr>
          <w:rFonts w:cs="Times New Roman"/>
          <w:b/>
          <w:bCs/>
        </w:rPr>
        <w:t>Liisa-Ly Pakosta</w:t>
      </w:r>
      <w:r w:rsidR="0019780D" w:rsidRPr="00CF392C">
        <w:rPr>
          <w:rFonts w:cs="Times New Roman"/>
          <w:b/>
          <w:bCs/>
        </w:rPr>
        <w:tab/>
      </w:r>
      <w:r w:rsidR="0019780D" w:rsidRPr="00CF392C">
        <w:rPr>
          <w:rFonts w:cs="Times New Roman"/>
          <w:b/>
          <w:bCs/>
        </w:rPr>
        <w:tab/>
      </w:r>
      <w:r w:rsidR="0019780D" w:rsidRPr="00CF392C">
        <w:rPr>
          <w:rFonts w:cs="Times New Roman"/>
          <w:b/>
          <w:bCs/>
        </w:rPr>
        <w:tab/>
      </w:r>
      <w:r w:rsidR="0019780D" w:rsidRPr="00CF392C">
        <w:rPr>
          <w:rFonts w:cs="Times New Roman"/>
          <w:b/>
          <w:bCs/>
        </w:rPr>
        <w:tab/>
      </w:r>
    </w:p>
    <w:p w14:paraId="6CA565AF" w14:textId="348AC1BF" w:rsidR="0019780D" w:rsidRPr="00CF392C" w:rsidRDefault="00E9706B" w:rsidP="00F228D5">
      <w:pPr>
        <w:pStyle w:val="Body"/>
        <w:jc w:val="both"/>
        <w:rPr>
          <w:rFonts w:cs="Times New Roman"/>
          <w:bCs/>
          <w:color w:val="auto"/>
        </w:rPr>
      </w:pPr>
      <w:r>
        <w:rPr>
          <w:rFonts w:cs="Times New Roman"/>
        </w:rPr>
        <w:t>Justiits- ja digiminister</w:t>
      </w:r>
      <w:r w:rsidR="0019780D" w:rsidRPr="00CF392C">
        <w:rPr>
          <w:rFonts w:cs="Times New Roman"/>
          <w:b/>
          <w:bCs/>
        </w:rPr>
        <w:t xml:space="preserve">                                                        </w:t>
      </w:r>
      <w:r w:rsidR="008B5BD0">
        <w:rPr>
          <w:rFonts w:cs="Times New Roman"/>
          <w:b/>
          <w:bCs/>
        </w:rPr>
        <w:t xml:space="preserve">       </w:t>
      </w:r>
      <w:r w:rsidR="00A976E1">
        <w:rPr>
          <w:rFonts w:cs="Times New Roman"/>
          <w:b/>
          <w:bCs/>
        </w:rPr>
        <w:t xml:space="preserve"> </w:t>
      </w:r>
      <w:r w:rsidR="0019780D" w:rsidRPr="00CF392C">
        <w:rPr>
          <w:rFonts w:cs="Times New Roman"/>
          <w:bCs/>
          <w:color w:val="auto"/>
        </w:rPr>
        <w:t xml:space="preserve">Teie </w:t>
      </w:r>
      <w:r w:rsidR="00426407">
        <w:rPr>
          <w:rFonts w:cs="Times New Roman"/>
          <w:bCs/>
          <w:color w:val="auto"/>
        </w:rPr>
        <w:t>31.12</w:t>
      </w:r>
      <w:r w:rsidR="0044481E" w:rsidRPr="00CF392C">
        <w:rPr>
          <w:rFonts w:cs="Times New Roman"/>
          <w:bCs/>
          <w:color w:val="auto"/>
        </w:rPr>
        <w:t>.2025</w:t>
      </w:r>
      <w:r w:rsidR="00FA1AC9" w:rsidRPr="00CF392C">
        <w:rPr>
          <w:rFonts w:cs="Times New Roman"/>
          <w:bCs/>
          <w:color w:val="auto"/>
        </w:rPr>
        <w:t xml:space="preserve"> nr </w:t>
      </w:r>
      <w:r w:rsidR="008B3EC3">
        <w:rPr>
          <w:rFonts w:cs="Times New Roman"/>
          <w:bCs/>
          <w:color w:val="auto"/>
        </w:rPr>
        <w:t>8-1/</w:t>
      </w:r>
      <w:r w:rsidR="00426407">
        <w:rPr>
          <w:rFonts w:cs="Times New Roman"/>
          <w:bCs/>
          <w:color w:val="auto"/>
        </w:rPr>
        <w:t>10384-1</w:t>
      </w:r>
      <w:r w:rsidR="0019780D" w:rsidRPr="00CF392C">
        <w:rPr>
          <w:rFonts w:cs="Times New Roman"/>
          <w:bCs/>
          <w:color w:val="auto"/>
        </w:rPr>
        <w:t xml:space="preserve"> </w:t>
      </w:r>
    </w:p>
    <w:p w14:paraId="203AD6B3" w14:textId="674DE638" w:rsidR="0019780D" w:rsidRPr="00CF392C" w:rsidRDefault="00E9706B" w:rsidP="00F228D5">
      <w:pPr>
        <w:pStyle w:val="Body"/>
        <w:jc w:val="both"/>
        <w:rPr>
          <w:rFonts w:eastAsia="Times New Roman" w:cs="Times New Roman"/>
          <w:bCs/>
        </w:rPr>
      </w:pPr>
      <w:r>
        <w:rPr>
          <w:rFonts w:cs="Times New Roman"/>
        </w:rPr>
        <w:t>Justiits- ja digiministeerium</w:t>
      </w:r>
      <w:r w:rsidR="0019780D" w:rsidRPr="00CF392C">
        <w:rPr>
          <w:rFonts w:cs="Times New Roman"/>
        </w:rPr>
        <w:t xml:space="preserve">                                                       </w:t>
      </w:r>
      <w:r w:rsidR="0019780D" w:rsidRPr="00CF392C">
        <w:rPr>
          <w:rFonts w:eastAsia="Times New Roman" w:cs="Times New Roman"/>
          <w:bCs/>
        </w:rPr>
        <w:t xml:space="preserve">Meie </w:t>
      </w:r>
      <w:r w:rsidR="00426407">
        <w:rPr>
          <w:rFonts w:eastAsia="Times New Roman" w:cs="Times New Roman"/>
          <w:bCs/>
        </w:rPr>
        <w:t>26.01.2026</w:t>
      </w:r>
      <w:r w:rsidR="0019780D" w:rsidRPr="00CF392C">
        <w:rPr>
          <w:rFonts w:eastAsia="Times New Roman" w:cs="Times New Roman"/>
          <w:bCs/>
        </w:rPr>
        <w:t xml:space="preserve"> nr 1-8/</w:t>
      </w:r>
      <w:r w:rsidR="00B0396F" w:rsidRPr="00CF392C">
        <w:rPr>
          <w:rFonts w:eastAsia="Times New Roman" w:cs="Times New Roman"/>
          <w:bCs/>
        </w:rPr>
        <w:t>2</w:t>
      </w:r>
      <w:r w:rsidR="00A03FE7">
        <w:rPr>
          <w:rFonts w:eastAsia="Times New Roman" w:cs="Times New Roman"/>
          <w:bCs/>
        </w:rPr>
        <w:t>6</w:t>
      </w:r>
      <w:r w:rsidR="00B0396F" w:rsidRPr="00CF392C">
        <w:rPr>
          <w:rFonts w:eastAsia="Times New Roman" w:cs="Times New Roman"/>
          <w:bCs/>
        </w:rPr>
        <w:t>/</w:t>
      </w:r>
      <w:r w:rsidR="00A03FE7">
        <w:rPr>
          <w:rFonts w:eastAsia="Times New Roman" w:cs="Times New Roman"/>
          <w:bCs/>
        </w:rPr>
        <w:t>1</w:t>
      </w:r>
      <w:r w:rsidR="00796FF9">
        <w:rPr>
          <w:rFonts w:eastAsia="Times New Roman" w:cs="Times New Roman"/>
          <w:bCs/>
        </w:rPr>
        <w:t>-1</w:t>
      </w:r>
    </w:p>
    <w:p w14:paraId="6E184BEF" w14:textId="152426C9" w:rsidR="00995853" w:rsidRDefault="00995853" w:rsidP="00F228D5">
      <w:pPr>
        <w:pStyle w:val="Body"/>
        <w:jc w:val="both"/>
        <w:rPr>
          <w:rFonts w:eastAsia="Times New Roman" w:cs="Times New Roman"/>
          <w:bCs/>
        </w:rPr>
      </w:pPr>
      <w:r w:rsidRPr="00995853">
        <w:rPr>
          <w:rFonts w:eastAsia="Times New Roman" w:cs="Times New Roman"/>
          <w:bCs/>
        </w:rPr>
        <w:t>info@</w:t>
      </w:r>
      <w:r w:rsidR="00E9706B">
        <w:rPr>
          <w:rFonts w:eastAsia="Times New Roman" w:cs="Times New Roman"/>
          <w:bCs/>
        </w:rPr>
        <w:t>justdigi</w:t>
      </w:r>
      <w:r w:rsidRPr="00995853">
        <w:rPr>
          <w:rFonts w:eastAsia="Times New Roman" w:cs="Times New Roman"/>
          <w:bCs/>
        </w:rPr>
        <w:t>.ee</w:t>
      </w:r>
    </w:p>
    <w:p w14:paraId="3F30D34B" w14:textId="36884A09" w:rsidR="0019780D" w:rsidRDefault="00426407" w:rsidP="00F228D5">
      <w:pPr>
        <w:pStyle w:val="Body"/>
        <w:jc w:val="both"/>
        <w:rPr>
          <w:rFonts w:cs="Times New Roman"/>
        </w:rPr>
      </w:pPr>
      <w:r>
        <w:rPr>
          <w:rFonts w:cs="Times New Roman"/>
        </w:rPr>
        <w:t>stella-johanson@justdigi.ee</w:t>
      </w:r>
    </w:p>
    <w:p w14:paraId="4F26BD09" w14:textId="77777777" w:rsidR="0019780D" w:rsidRPr="00CF392C" w:rsidRDefault="0019780D" w:rsidP="00F228D5">
      <w:pPr>
        <w:widowControl/>
        <w:suppressAutoHyphens w:val="0"/>
        <w:jc w:val="both"/>
        <w:rPr>
          <w:color w:val="auto"/>
          <w:szCs w:val="24"/>
        </w:rPr>
      </w:pPr>
    </w:p>
    <w:p w14:paraId="1C2EE57A" w14:textId="77777777" w:rsidR="0019780D" w:rsidRPr="00CF392C" w:rsidRDefault="0019780D" w:rsidP="00F228D5">
      <w:pPr>
        <w:widowControl/>
        <w:suppressAutoHyphens w:val="0"/>
        <w:jc w:val="both"/>
        <w:rPr>
          <w:szCs w:val="24"/>
        </w:rPr>
      </w:pP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p>
    <w:p w14:paraId="4E263FAD" w14:textId="3285E536" w:rsidR="0019780D" w:rsidRPr="00CF392C" w:rsidRDefault="00273597" w:rsidP="00F228D5">
      <w:pPr>
        <w:tabs>
          <w:tab w:val="left" w:pos="0"/>
        </w:tabs>
        <w:jc w:val="both"/>
        <w:rPr>
          <w:b/>
          <w:bCs/>
          <w:szCs w:val="24"/>
        </w:rPr>
      </w:pPr>
      <w:r>
        <w:rPr>
          <w:b/>
          <w:bCs/>
          <w:szCs w:val="24"/>
        </w:rPr>
        <w:t>TsMS jt seaduste muutmine (vaigistuskaebuste direktiivi ülevõtmine</w:t>
      </w:r>
      <w:r w:rsidR="00A976E1">
        <w:rPr>
          <w:b/>
          <w:bCs/>
          <w:szCs w:val="24"/>
        </w:rPr>
        <w:t>)</w:t>
      </w:r>
    </w:p>
    <w:p w14:paraId="2C65BF31" w14:textId="77777777" w:rsidR="0019780D" w:rsidRPr="00CF392C" w:rsidRDefault="0019780D" w:rsidP="00F228D5">
      <w:pPr>
        <w:tabs>
          <w:tab w:val="left" w:pos="0"/>
        </w:tabs>
        <w:jc w:val="both"/>
        <w:rPr>
          <w:b/>
          <w:bCs/>
          <w:szCs w:val="24"/>
        </w:rPr>
      </w:pPr>
    </w:p>
    <w:p w14:paraId="5664917E" w14:textId="77777777" w:rsidR="0019780D" w:rsidRPr="00CF392C" w:rsidRDefault="0019780D" w:rsidP="00F228D5">
      <w:pPr>
        <w:tabs>
          <w:tab w:val="left" w:pos="0"/>
        </w:tabs>
        <w:jc w:val="both"/>
        <w:rPr>
          <w:szCs w:val="24"/>
        </w:rPr>
      </w:pPr>
    </w:p>
    <w:p w14:paraId="6B2E6EAE" w14:textId="1B83119B" w:rsidR="0019780D" w:rsidRDefault="0019780D" w:rsidP="00F228D5">
      <w:pPr>
        <w:tabs>
          <w:tab w:val="left" w:pos="0"/>
        </w:tabs>
        <w:jc w:val="both"/>
        <w:rPr>
          <w:szCs w:val="24"/>
        </w:rPr>
      </w:pPr>
      <w:r w:rsidRPr="00CF392C">
        <w:rPr>
          <w:szCs w:val="24"/>
        </w:rPr>
        <w:t xml:space="preserve">Lugupeetud </w:t>
      </w:r>
      <w:r w:rsidR="008C1863">
        <w:rPr>
          <w:szCs w:val="24"/>
        </w:rPr>
        <w:t>Liisa-Ly Pakosta</w:t>
      </w:r>
    </w:p>
    <w:p w14:paraId="72DC638F" w14:textId="77777777" w:rsidR="00F228D5" w:rsidRPr="00CF392C" w:rsidRDefault="00F228D5" w:rsidP="00F228D5">
      <w:pPr>
        <w:tabs>
          <w:tab w:val="left" w:pos="0"/>
        </w:tabs>
        <w:jc w:val="both"/>
        <w:rPr>
          <w:szCs w:val="24"/>
        </w:rPr>
      </w:pPr>
    </w:p>
    <w:p w14:paraId="6F58F63B" w14:textId="77777777" w:rsidR="0019780D" w:rsidRPr="00CF392C" w:rsidRDefault="0019780D" w:rsidP="00F228D5">
      <w:pPr>
        <w:tabs>
          <w:tab w:val="left" w:pos="0"/>
        </w:tabs>
        <w:jc w:val="both"/>
        <w:rPr>
          <w:szCs w:val="24"/>
        </w:rPr>
      </w:pPr>
    </w:p>
    <w:p w14:paraId="0EFF9D52" w14:textId="7A91844D" w:rsidR="000E2E3A" w:rsidRDefault="0019780D" w:rsidP="00F228D5">
      <w:pPr>
        <w:tabs>
          <w:tab w:val="left" w:pos="0"/>
        </w:tabs>
        <w:jc w:val="both"/>
        <w:rPr>
          <w:szCs w:val="24"/>
        </w:rPr>
      </w:pPr>
      <w:r w:rsidRPr="00CF392C">
        <w:rPr>
          <w:szCs w:val="24"/>
        </w:rPr>
        <w:t xml:space="preserve">Täname, et olete advokatuurile saatnud arvamuse avaldamiseks </w:t>
      </w:r>
      <w:r w:rsidR="00273597">
        <w:rPr>
          <w:szCs w:val="24"/>
        </w:rPr>
        <w:t xml:space="preserve">TsMS jt seaduste muutmise seaduse eelnõu. Esitame teile </w:t>
      </w:r>
      <w:r w:rsidR="00341BD2">
        <w:rPr>
          <w:szCs w:val="24"/>
        </w:rPr>
        <w:t>advokatuuri menetlusõiguse komisjoni seisukohad eelnõu osas</w:t>
      </w:r>
      <w:r w:rsidR="00394B72">
        <w:rPr>
          <w:szCs w:val="24"/>
        </w:rPr>
        <w:t xml:space="preserve"> ning ettepaneku eelnõu seletuskirja täiendamiseks.</w:t>
      </w:r>
    </w:p>
    <w:p w14:paraId="5C8593C5" w14:textId="77777777" w:rsidR="00B611CF" w:rsidRDefault="00B611CF" w:rsidP="00F228D5">
      <w:pPr>
        <w:jc w:val="both"/>
        <w:rPr>
          <w:b/>
          <w:bCs/>
        </w:rPr>
      </w:pPr>
    </w:p>
    <w:p w14:paraId="0B82D8D7" w14:textId="030957CE" w:rsidR="00B611CF" w:rsidRPr="00B611CF" w:rsidRDefault="00B611CF" w:rsidP="00F228D5">
      <w:pPr>
        <w:pStyle w:val="ListParagraph"/>
        <w:numPr>
          <w:ilvl w:val="0"/>
          <w:numId w:val="18"/>
        </w:numPr>
        <w:jc w:val="both"/>
        <w:rPr>
          <w:b/>
          <w:bCs/>
        </w:rPr>
      </w:pPr>
      <w:r w:rsidRPr="00B611CF">
        <w:rPr>
          <w:b/>
          <w:bCs/>
        </w:rPr>
        <w:t>Eelnõu § 1 p 1 (TsMS täiendamine §-ga 94</w:t>
      </w:r>
      <w:r w:rsidRPr="00B611CF">
        <w:rPr>
          <w:b/>
          <w:bCs/>
          <w:vertAlign w:val="superscript"/>
        </w:rPr>
        <w:t>1</w:t>
      </w:r>
      <w:r w:rsidRPr="00B611CF">
        <w:rPr>
          <w:b/>
          <w:bCs/>
        </w:rPr>
        <w:t>)</w:t>
      </w:r>
    </w:p>
    <w:p w14:paraId="35C575A4" w14:textId="77777777" w:rsidR="00B611CF" w:rsidRDefault="00B611CF" w:rsidP="00F228D5">
      <w:pPr>
        <w:jc w:val="both"/>
      </w:pPr>
    </w:p>
    <w:p w14:paraId="733EDDA1" w14:textId="490936C1" w:rsidR="00B611CF" w:rsidRDefault="00B611CF" w:rsidP="00F228D5">
      <w:pPr>
        <w:jc w:val="both"/>
      </w:pPr>
      <w:r>
        <w:t>TsMS kasutab termineid „hageja“ ja „kostja“ Eestis toimuva kohtumenetluse kontekstis (TsMS § 205 lg 2). Kavandatud § 94</w:t>
      </w:r>
      <w:r w:rsidRPr="005D570B">
        <w:rPr>
          <w:vertAlign w:val="superscript"/>
        </w:rPr>
        <w:t>1</w:t>
      </w:r>
      <w:r>
        <w:t xml:space="preserve"> viitab aga hagejana isikule, kes oleks Eestis toimuva kohtumenetluse kontekstis kostja, ning kostjana isikule, kes oleks Eestis toimuva kohtumenetluse kontekstis hageja. Seetõttu </w:t>
      </w:r>
      <w:r w:rsidR="00237355">
        <w:t>teeme ettepaneku</w:t>
      </w:r>
      <w:r>
        <w:t xml:space="preserve"> kaaluda eelnõus pakutu asemel (TsMS § 86 eeskujul)</w:t>
      </w:r>
      <w:r w:rsidRPr="00186D67">
        <w:t xml:space="preserve"> </w:t>
      </w:r>
      <w:r>
        <w:t>järgmist sõnastust:</w:t>
      </w:r>
    </w:p>
    <w:p w14:paraId="4DC96D83" w14:textId="77777777" w:rsidR="00B611CF" w:rsidRDefault="00B611CF" w:rsidP="00F228D5">
      <w:pPr>
        <w:jc w:val="both"/>
      </w:pPr>
    </w:p>
    <w:p w14:paraId="437B1687" w14:textId="3A97B590" w:rsidR="00B611CF" w:rsidRPr="005D570B" w:rsidRDefault="00F5013E" w:rsidP="00F5013E">
      <w:pPr>
        <w:ind w:right="521"/>
        <w:jc w:val="both"/>
        <w:rPr>
          <w:i/>
          <w:iCs/>
        </w:rPr>
      </w:pPr>
      <w:r>
        <w:rPr>
          <w:i/>
          <w:iCs/>
        </w:rPr>
        <w:t>„</w:t>
      </w:r>
      <w:r w:rsidR="00B611CF">
        <w:rPr>
          <w:i/>
          <w:iCs/>
        </w:rPr>
        <w:t xml:space="preserve">Kui isik, kelle elukoht või asukoht on välisriigis, on algatanud välisriigi kohtus avalikus elus osalemise takistamiseks </w:t>
      </w:r>
      <w:r w:rsidR="00B611CF" w:rsidRPr="008C181C">
        <w:rPr>
          <w:i/>
          <w:iCs/>
        </w:rPr>
        <w:t>kuritarvitusliku</w:t>
      </w:r>
      <w:r w:rsidR="00B611CF">
        <w:rPr>
          <w:i/>
          <w:iCs/>
        </w:rPr>
        <w:t xml:space="preserve"> kohtumenetluse, võib sellega tekitatud kahju ja kulude hüvitamise nõudega hagi esitada selle isiku elukoha või asukoha järgi, kelle vastu on kohtumenetlus alustatud.</w:t>
      </w:r>
      <w:r>
        <w:rPr>
          <w:i/>
          <w:iCs/>
        </w:rPr>
        <w:t>“</w:t>
      </w:r>
      <w:r w:rsidR="00B611CF">
        <w:rPr>
          <w:i/>
          <w:iCs/>
        </w:rPr>
        <w:t xml:space="preserve">  </w:t>
      </w:r>
    </w:p>
    <w:p w14:paraId="641C0E03" w14:textId="77777777" w:rsidR="00B611CF" w:rsidRDefault="00B611CF" w:rsidP="00F228D5">
      <w:pPr>
        <w:jc w:val="both"/>
      </w:pPr>
    </w:p>
    <w:p w14:paraId="2352622F" w14:textId="77777777" w:rsidR="00B611CF" w:rsidRPr="00B611CF" w:rsidRDefault="00B611CF" w:rsidP="00F228D5">
      <w:pPr>
        <w:pStyle w:val="ListParagraph"/>
        <w:numPr>
          <w:ilvl w:val="0"/>
          <w:numId w:val="18"/>
        </w:numPr>
        <w:jc w:val="both"/>
        <w:rPr>
          <w:b/>
          <w:bCs/>
        </w:rPr>
      </w:pPr>
      <w:r w:rsidRPr="00B611CF">
        <w:rPr>
          <w:b/>
          <w:bCs/>
        </w:rPr>
        <w:t>Eelnõu § 1 p 2 (TsMS täiendamine §-ga 196</w:t>
      </w:r>
      <w:r w:rsidRPr="00B611CF">
        <w:rPr>
          <w:b/>
          <w:bCs/>
          <w:vertAlign w:val="superscript"/>
        </w:rPr>
        <w:t>1</w:t>
      </w:r>
      <w:r w:rsidRPr="00B611CF">
        <w:rPr>
          <w:b/>
          <w:bCs/>
        </w:rPr>
        <w:t>)</w:t>
      </w:r>
    </w:p>
    <w:p w14:paraId="2A8D576D" w14:textId="77777777" w:rsidR="00B611CF" w:rsidRDefault="00B611CF" w:rsidP="00F228D5">
      <w:pPr>
        <w:jc w:val="both"/>
      </w:pPr>
    </w:p>
    <w:p w14:paraId="0B5FCCD7" w14:textId="77777777" w:rsidR="00B611CF" w:rsidRDefault="00B611CF" w:rsidP="00F228D5">
      <w:pPr>
        <w:jc w:val="both"/>
      </w:pPr>
      <w:r>
        <w:t>Menetluskulude katteks tagatise andmist reguleerib TsMS § 196. Uue paragrahvi lisamise asemel võiks kaaluda olemasoleva paragrahvi muutmist.</w:t>
      </w:r>
    </w:p>
    <w:p w14:paraId="7541F838" w14:textId="77777777" w:rsidR="00B611CF" w:rsidRDefault="00B611CF" w:rsidP="00F228D5">
      <w:pPr>
        <w:jc w:val="both"/>
      </w:pPr>
    </w:p>
    <w:p w14:paraId="7EDC6B4F" w14:textId="77777777" w:rsidR="00B611CF" w:rsidRDefault="00B611CF" w:rsidP="00F228D5">
      <w:pPr>
        <w:jc w:val="both"/>
      </w:pPr>
      <w:r>
        <w:t>TsMS § 196 lõiget 1 saab täiendada punktiga 4, mille järgi võib nõ</w:t>
      </w:r>
      <w:r w:rsidRPr="009502F1">
        <w:t xml:space="preserve">uda tagatist, kui hageja on esitanud hagi </w:t>
      </w:r>
      <w:r>
        <w:t xml:space="preserve">kostja </w:t>
      </w:r>
      <w:r w:rsidRPr="009502F1">
        <w:t>avalikus elus osalemise takistamiseks</w:t>
      </w:r>
      <w:r>
        <w:t>. Kui hagis ei ole kohtumenetluse kuritarvituslikkusele viitavaid asjaolusid, saab jätta taotluse rahuldamata, ilma et säte näeks tagatise nõudmise eeldusena ette selliste asjaolude esinemist.</w:t>
      </w:r>
    </w:p>
    <w:p w14:paraId="690DB659" w14:textId="77777777" w:rsidR="00B611CF" w:rsidRDefault="00B611CF" w:rsidP="00F228D5">
      <w:pPr>
        <w:jc w:val="both"/>
      </w:pPr>
    </w:p>
    <w:p w14:paraId="4E196FE3" w14:textId="6E91E772" w:rsidR="00B611CF" w:rsidRDefault="00B611CF" w:rsidP="00F228D5">
      <w:pPr>
        <w:jc w:val="both"/>
      </w:pPr>
      <w:r>
        <w:t>TsMS §-i 196 saab täiendada lõikega 5, mille järgi ei kohaldataks § 196 lg 1 punkti 4 alusel tagatise nõudmise korral §-i 196 lõikeid 2 ja 2</w:t>
      </w:r>
      <w:r w:rsidRPr="007C610C">
        <w:rPr>
          <w:vertAlign w:val="superscript"/>
        </w:rPr>
        <w:t>1</w:t>
      </w:r>
      <w:r>
        <w:t>. Kuna kostja võib enne tagatise taotluse lahendamist edasiste menetlustoimingute tegemisest keelduda</w:t>
      </w:r>
      <w:r w:rsidR="002E1259">
        <w:rPr>
          <w:rStyle w:val="FootnoteReference"/>
        </w:rPr>
        <w:footnoteReference w:id="1"/>
      </w:r>
      <w:r>
        <w:t xml:space="preserve">, ei pruugi olla vajalik näha ette </w:t>
      </w:r>
      <w:r>
        <w:lastRenderedPageBreak/>
        <w:t>taotluse lahendamise tähtaega. Tähtaja ettenägemisel võib see kohalduda kõigile tagatise taotlustele.</w:t>
      </w:r>
    </w:p>
    <w:p w14:paraId="40E64576" w14:textId="77777777" w:rsidR="00B611CF" w:rsidRDefault="00B611CF" w:rsidP="00F228D5">
      <w:pPr>
        <w:jc w:val="both"/>
      </w:pPr>
    </w:p>
    <w:p w14:paraId="5D038C38" w14:textId="77777777" w:rsidR="00B611CF" w:rsidRPr="00B611CF" w:rsidRDefault="00B611CF" w:rsidP="00F228D5">
      <w:pPr>
        <w:pStyle w:val="ListParagraph"/>
        <w:numPr>
          <w:ilvl w:val="0"/>
          <w:numId w:val="18"/>
        </w:numPr>
        <w:jc w:val="both"/>
        <w:rPr>
          <w:b/>
          <w:bCs/>
        </w:rPr>
      </w:pPr>
      <w:r w:rsidRPr="00B611CF">
        <w:rPr>
          <w:b/>
          <w:bCs/>
        </w:rPr>
        <w:t>Eelnõu § 1 p 3 (TsMS täiendamine §-ga 333</w:t>
      </w:r>
      <w:r w:rsidRPr="00B611CF">
        <w:rPr>
          <w:b/>
          <w:bCs/>
          <w:vertAlign w:val="superscript"/>
        </w:rPr>
        <w:t>2</w:t>
      </w:r>
      <w:r w:rsidRPr="00B611CF">
        <w:rPr>
          <w:b/>
          <w:bCs/>
        </w:rPr>
        <w:t>)</w:t>
      </w:r>
    </w:p>
    <w:p w14:paraId="6C271DB4" w14:textId="77777777" w:rsidR="00B611CF" w:rsidRDefault="00B611CF" w:rsidP="00F228D5">
      <w:pPr>
        <w:jc w:val="both"/>
      </w:pPr>
    </w:p>
    <w:p w14:paraId="33AB68AB" w14:textId="77777777" w:rsidR="00B611CF" w:rsidRDefault="00B611CF" w:rsidP="00F228D5">
      <w:pPr>
        <w:jc w:val="both"/>
      </w:pPr>
      <w:r>
        <w:t>TsMS-i 37. peatüki üldsätted (st ka kavandatud § 333</w:t>
      </w:r>
      <w:r w:rsidRPr="00953ED9">
        <w:rPr>
          <w:vertAlign w:val="superscript"/>
        </w:rPr>
        <w:t>2</w:t>
      </w:r>
      <w:r>
        <w:t>) võiksid olla võimalikult laia kohaldamisalaga. Võimalusel võiks vältida mingi konkreetse nõude läbivaatamisega seotud eriregulatsiooni kehtestamist. Seetõttu võiks lähtuda § 333</w:t>
      </w:r>
      <w:r w:rsidRPr="00C80BAA">
        <w:rPr>
          <w:vertAlign w:val="superscript"/>
        </w:rPr>
        <w:t>2</w:t>
      </w:r>
      <w:r>
        <w:t xml:space="preserve"> osas laia kohaldamisalaga variandist.</w:t>
      </w:r>
    </w:p>
    <w:p w14:paraId="51DB3FB6" w14:textId="77777777" w:rsidR="00B611CF" w:rsidRDefault="00B611CF" w:rsidP="00F228D5">
      <w:pPr>
        <w:jc w:val="both"/>
      </w:pPr>
    </w:p>
    <w:p w14:paraId="63280FEB" w14:textId="0DB343B6" w:rsidR="00B611CF" w:rsidRDefault="00B611CF" w:rsidP="00F228D5">
      <w:pPr>
        <w:jc w:val="both"/>
        <w:rPr>
          <w:rFonts w:cs="Arial"/>
        </w:rPr>
      </w:pPr>
      <w:r>
        <w:t>Eelnõust ei selgu, kuidas suhestub ilmselgelt põhjendamatu nõude esimesel võimalusel rahuldamata jätmine TsMS § 341 lõikega 1, mille järgi lahendatakse tsiviilasi üldjuhul kohtuistungil. Samuti tekib küsimus, kas ja mille poolest erinevad kavandatud § 333</w:t>
      </w:r>
      <w:r w:rsidRPr="00C80BAA">
        <w:rPr>
          <w:vertAlign w:val="superscript"/>
        </w:rPr>
        <w:t>2</w:t>
      </w:r>
      <w:r>
        <w:t xml:space="preserve"> lõikes 2 ettenähtud eeldused otsuse tegemise tavapärastest eeldustest</w:t>
      </w:r>
      <w:r w:rsidR="00C52E75">
        <w:rPr>
          <w:rStyle w:val="FootnoteReference"/>
        </w:rPr>
        <w:footnoteReference w:id="2"/>
      </w:r>
      <w:r w:rsidR="00026096">
        <w:t>.</w:t>
      </w:r>
      <w:r>
        <w:t xml:space="preserve"> </w:t>
      </w:r>
    </w:p>
    <w:p w14:paraId="12F78C4E" w14:textId="77777777" w:rsidR="00B611CF" w:rsidRDefault="00B611CF" w:rsidP="00F228D5">
      <w:pPr>
        <w:jc w:val="both"/>
        <w:rPr>
          <w:rFonts w:cs="Arial"/>
        </w:rPr>
      </w:pPr>
    </w:p>
    <w:p w14:paraId="3DCE4F53" w14:textId="77777777" w:rsidR="00B611CF" w:rsidRDefault="00B611CF" w:rsidP="00F228D5">
      <w:pPr>
        <w:jc w:val="both"/>
      </w:pPr>
      <w:r>
        <w:rPr>
          <w:rFonts w:cs="Arial"/>
        </w:rPr>
        <w:t xml:space="preserve">Eelnõus pakutu asemel võiks kaaluda varianti, et kui </w:t>
      </w:r>
      <w:r>
        <w:t xml:space="preserve">pärast eelmenetluse läbiviimist selgub, et </w:t>
      </w:r>
      <w:r w:rsidRPr="000905D1">
        <w:t>hagi ei ole esitatud hageja seadusega kaitstud õiguse ega huvi kaitseks või eesmärgil, millele riik peaks andma õiguskaitset</w:t>
      </w:r>
      <w:r>
        <w:t>, siis jätab kohus hagi istungit pidamata rahuldamata (praeguse TsMS § 423 lg 1 punktis 2 ettenähtud võimaluse asemel jätta hagi läbi vaatamata).</w:t>
      </w:r>
    </w:p>
    <w:p w14:paraId="2EC5E577" w14:textId="77777777" w:rsidR="00B611CF" w:rsidRDefault="00B611CF" w:rsidP="00F228D5">
      <w:pPr>
        <w:jc w:val="both"/>
      </w:pPr>
    </w:p>
    <w:p w14:paraId="7900D68D" w14:textId="77777777" w:rsidR="00B611CF" w:rsidRDefault="00B611CF" w:rsidP="00F228D5">
      <w:pPr>
        <w:jc w:val="both"/>
      </w:pPr>
      <w:r>
        <w:t>Direktiivi artikli 13 järgi peaks ilmselgelt põhjendamatu nõude menetluse varases faasis rahuldamata jätmisest keeldumine olema edasi kaevatav. Kavandatavas §-s 333</w:t>
      </w:r>
      <w:r w:rsidRPr="00534562">
        <w:rPr>
          <w:vertAlign w:val="superscript"/>
        </w:rPr>
        <w:t>2</w:t>
      </w:r>
      <w:r>
        <w:t xml:space="preserve"> sellist edasikaebeõigust ei nähtu.</w:t>
      </w:r>
    </w:p>
    <w:p w14:paraId="3033D4A3" w14:textId="77777777" w:rsidR="00B611CF" w:rsidRDefault="00B611CF" w:rsidP="00F228D5">
      <w:pPr>
        <w:jc w:val="both"/>
      </w:pPr>
    </w:p>
    <w:p w14:paraId="4F713CF7" w14:textId="77777777" w:rsidR="00B611CF" w:rsidRPr="00B611CF" w:rsidRDefault="00B611CF" w:rsidP="00F228D5">
      <w:pPr>
        <w:pStyle w:val="ListParagraph"/>
        <w:keepNext/>
        <w:numPr>
          <w:ilvl w:val="0"/>
          <w:numId w:val="18"/>
        </w:numPr>
        <w:jc w:val="both"/>
        <w:rPr>
          <w:b/>
          <w:bCs/>
        </w:rPr>
      </w:pPr>
      <w:r w:rsidRPr="00B611CF">
        <w:rPr>
          <w:b/>
          <w:bCs/>
        </w:rPr>
        <w:t>Eelnõu § 1 p 4 (TsMS täiendamine 43</w:t>
      </w:r>
      <w:r w:rsidRPr="00B611CF">
        <w:rPr>
          <w:b/>
          <w:bCs/>
          <w:vertAlign w:val="superscript"/>
        </w:rPr>
        <w:t>1</w:t>
      </w:r>
      <w:r w:rsidRPr="00B611CF">
        <w:rPr>
          <w:b/>
          <w:bCs/>
        </w:rPr>
        <w:t>. peatükiga, sh §-ga 406</w:t>
      </w:r>
      <w:r w:rsidRPr="00B611CF">
        <w:rPr>
          <w:b/>
          <w:bCs/>
          <w:vertAlign w:val="superscript"/>
        </w:rPr>
        <w:t>2</w:t>
      </w:r>
      <w:r w:rsidRPr="00B611CF">
        <w:rPr>
          <w:b/>
          <w:bCs/>
        </w:rPr>
        <w:t>)</w:t>
      </w:r>
    </w:p>
    <w:p w14:paraId="463CC212" w14:textId="77777777" w:rsidR="00B611CF" w:rsidRDefault="00B611CF" w:rsidP="00F228D5">
      <w:pPr>
        <w:keepNext/>
        <w:jc w:val="both"/>
      </w:pPr>
    </w:p>
    <w:p w14:paraId="23EE0D6C" w14:textId="77777777" w:rsidR="00B611CF" w:rsidRDefault="00B611CF" w:rsidP="00F228D5">
      <w:pPr>
        <w:jc w:val="both"/>
      </w:pPr>
      <w:r>
        <w:t>Kavandatava § 406</w:t>
      </w:r>
      <w:r>
        <w:rPr>
          <w:vertAlign w:val="superscript"/>
        </w:rPr>
        <w:t>2</w:t>
      </w:r>
      <w:r>
        <w:t xml:space="preserve"> lg 1 järgi kohaldatakse avalikus elus osalemise takistamiseks algatatud kuritarvituslikule kohtumenetlusele kavandatavas 43</w:t>
      </w:r>
      <w:r w:rsidRPr="003E3A0F">
        <w:rPr>
          <w:vertAlign w:val="superscript"/>
        </w:rPr>
        <w:t>1</w:t>
      </w:r>
      <w:r>
        <w:t>. peatükis sätestatud erisusi. Erisused puudutavad kuritarvitusliku kohtumenetluse tuvastamist, selle kohta tehtava lahendi avalikustamist, menetluskulude hüvitamist ja välisriigis tehtud lahendi tunnustamist (kavandatavad §-d 406</w:t>
      </w:r>
      <w:r w:rsidRPr="00A3066F">
        <w:rPr>
          <w:vertAlign w:val="superscript"/>
        </w:rPr>
        <w:t>4</w:t>
      </w:r>
      <w:r>
        <w:t xml:space="preserve"> ja 406</w:t>
      </w:r>
      <w:r w:rsidRPr="006B6BFE">
        <w:rPr>
          <w:vertAlign w:val="superscript"/>
        </w:rPr>
        <w:t>5</w:t>
      </w:r>
      <w:r>
        <w:t>). Vajadus uue peatüki järele on küsitav. Kuritarvitusliku kohtumenetluse tuvastamist saab reguleerida TsMS §-s 442 otsusega lahendatava küsimusena (vt ka tagasiside kavandatavale §-le 406</w:t>
      </w:r>
      <w:r w:rsidRPr="00661418">
        <w:rPr>
          <w:vertAlign w:val="superscript"/>
        </w:rPr>
        <w:t>4</w:t>
      </w:r>
      <w:r>
        <w:t>), lahendi avalikustamist saab reguleerida TsMS §-s 462, menetluskulude jaotust saab reguleerida TsMS §-s 162 või 163 (vt ka tagasiside kavandatavale §-le 406</w:t>
      </w:r>
      <w:r w:rsidRPr="00526D5B">
        <w:rPr>
          <w:vertAlign w:val="superscript"/>
        </w:rPr>
        <w:t>5</w:t>
      </w:r>
      <w:r>
        <w:t>), välisriigis tehtud lahendi tunnustamist saab reguleerida TsMS §-s 620.</w:t>
      </w:r>
    </w:p>
    <w:p w14:paraId="7E85BCC0" w14:textId="77777777" w:rsidR="00B611CF" w:rsidRDefault="00B611CF" w:rsidP="00F228D5">
      <w:pPr>
        <w:jc w:val="both"/>
      </w:pPr>
    </w:p>
    <w:p w14:paraId="6BA70DC1" w14:textId="77777777" w:rsidR="00B611CF" w:rsidRPr="00B611CF" w:rsidRDefault="00B611CF" w:rsidP="00F228D5">
      <w:pPr>
        <w:pStyle w:val="ListParagraph"/>
        <w:keepNext/>
        <w:numPr>
          <w:ilvl w:val="0"/>
          <w:numId w:val="18"/>
        </w:numPr>
        <w:jc w:val="both"/>
        <w:rPr>
          <w:b/>
          <w:bCs/>
        </w:rPr>
      </w:pPr>
      <w:r w:rsidRPr="00B611CF">
        <w:rPr>
          <w:b/>
          <w:bCs/>
        </w:rPr>
        <w:t>Eelnõu § 1 p 4 (TsMS täiendamine 43</w:t>
      </w:r>
      <w:r w:rsidRPr="00B611CF">
        <w:rPr>
          <w:b/>
          <w:bCs/>
          <w:vertAlign w:val="superscript"/>
        </w:rPr>
        <w:t>1</w:t>
      </w:r>
      <w:r w:rsidRPr="00B611CF">
        <w:rPr>
          <w:b/>
          <w:bCs/>
        </w:rPr>
        <w:t>. peatükiga, sh §-ga 406</w:t>
      </w:r>
      <w:r w:rsidRPr="00B611CF">
        <w:rPr>
          <w:b/>
          <w:bCs/>
          <w:vertAlign w:val="superscript"/>
        </w:rPr>
        <w:t>4</w:t>
      </w:r>
      <w:r w:rsidRPr="00B611CF">
        <w:rPr>
          <w:b/>
          <w:bCs/>
        </w:rPr>
        <w:t>)</w:t>
      </w:r>
    </w:p>
    <w:p w14:paraId="02C796A2" w14:textId="77777777" w:rsidR="00B611CF" w:rsidRDefault="00B611CF" w:rsidP="00F228D5">
      <w:pPr>
        <w:keepNext/>
        <w:jc w:val="both"/>
      </w:pPr>
    </w:p>
    <w:p w14:paraId="3DEA7F85" w14:textId="77777777" w:rsidR="00B611CF" w:rsidRDefault="00B611CF" w:rsidP="00F228D5">
      <w:pPr>
        <w:jc w:val="both"/>
      </w:pPr>
      <w:r w:rsidRPr="00D42C74">
        <w:t>Kuritarvitusliku kohtumenetluse tuvastamine</w:t>
      </w:r>
      <w:r>
        <w:t xml:space="preserve"> ja selle kohta tehtud lahendi avalikustamine on kavandatud direktiivi artikli 15 mõttes karistusena või muu sama mõjusa asjakohase meetmena. On kaheldav, kas kuritarvitusliku kohtumenetluse tuvastamise kohta avaliku lahendi tegemisel on soovitud distsiplineerivat mõju. Võiks kaaluda regulatsiooni, mille järgi annab kuritarvitusliku kohtumenetluse tuvastamine aluse nõuda hagejalt täiendavat riigilõivu või jätta hagi (nt analoogselt TsMS § 449 lg-le 3) rahuldamata.</w:t>
      </w:r>
    </w:p>
    <w:p w14:paraId="1C81E10E" w14:textId="77777777" w:rsidR="00F5013E" w:rsidRDefault="00F5013E" w:rsidP="00F228D5">
      <w:pPr>
        <w:jc w:val="both"/>
      </w:pPr>
    </w:p>
    <w:p w14:paraId="52D6D755" w14:textId="691D1A2B" w:rsidR="00B611CF" w:rsidRDefault="00B611CF" w:rsidP="00F228D5">
      <w:pPr>
        <w:jc w:val="both"/>
      </w:pPr>
      <w:r>
        <w:t>Kavandatava § 406</w:t>
      </w:r>
      <w:r w:rsidRPr="00D329CC">
        <w:rPr>
          <w:vertAlign w:val="superscript"/>
        </w:rPr>
        <w:t>4</w:t>
      </w:r>
      <w:r>
        <w:t xml:space="preserve"> lõike 2 järgi tuvastab kohus kuritarvitusliku kohtumenetluse, tehes selle kohta määruse. Kuritarvitusliku kohtumenetluse tuvastamiseks kohta eraldi määruse tegemine </w:t>
      </w:r>
      <w:r>
        <w:lastRenderedPageBreak/>
        <w:t>ei pruugi olla otstarbekas, sest see pikendab menetlust (võttes muu hulgas arvesse eelnõus ettenähtud kaebeõigust). Kuritarvituslikku kohtumenetlust peaks saama tuvastada menetlust lõpetavas lahendis.</w:t>
      </w:r>
    </w:p>
    <w:p w14:paraId="170FC102" w14:textId="77777777" w:rsidR="00B611CF" w:rsidRDefault="00B611CF" w:rsidP="00F228D5">
      <w:pPr>
        <w:jc w:val="both"/>
      </w:pPr>
    </w:p>
    <w:p w14:paraId="526C1722" w14:textId="77777777" w:rsidR="00B611CF" w:rsidRPr="00B611CF" w:rsidRDefault="00B611CF" w:rsidP="00F228D5">
      <w:pPr>
        <w:pStyle w:val="ListParagraph"/>
        <w:numPr>
          <w:ilvl w:val="0"/>
          <w:numId w:val="18"/>
        </w:numPr>
        <w:jc w:val="both"/>
        <w:rPr>
          <w:b/>
          <w:bCs/>
        </w:rPr>
      </w:pPr>
      <w:r w:rsidRPr="00B611CF">
        <w:rPr>
          <w:b/>
          <w:bCs/>
        </w:rPr>
        <w:t>Eelnõu § 1 p 4 (TsMS täiendamine 43</w:t>
      </w:r>
      <w:r w:rsidRPr="00B611CF">
        <w:rPr>
          <w:b/>
          <w:bCs/>
          <w:vertAlign w:val="superscript"/>
        </w:rPr>
        <w:t>1</w:t>
      </w:r>
      <w:r w:rsidRPr="00B611CF">
        <w:rPr>
          <w:b/>
          <w:bCs/>
        </w:rPr>
        <w:t>. peatükiga, sh §-ga 406</w:t>
      </w:r>
      <w:r w:rsidRPr="00B611CF">
        <w:rPr>
          <w:b/>
          <w:bCs/>
          <w:vertAlign w:val="superscript"/>
        </w:rPr>
        <w:t>5</w:t>
      </w:r>
      <w:r w:rsidRPr="00B611CF">
        <w:rPr>
          <w:b/>
          <w:bCs/>
        </w:rPr>
        <w:t>)</w:t>
      </w:r>
    </w:p>
    <w:p w14:paraId="17C0500A" w14:textId="77777777" w:rsidR="00B611CF" w:rsidRDefault="00B611CF" w:rsidP="00F228D5">
      <w:pPr>
        <w:jc w:val="both"/>
      </w:pPr>
    </w:p>
    <w:p w14:paraId="47CB5D8F" w14:textId="77777777" w:rsidR="00B611CF" w:rsidRDefault="00B611CF" w:rsidP="00F228D5">
      <w:pPr>
        <w:jc w:val="both"/>
        <w:rPr>
          <w:rFonts w:cs="Arial"/>
          <w:color w:val="202020"/>
          <w:shd w:val="clear" w:color="auto" w:fill="FFFFFF"/>
        </w:rPr>
      </w:pPr>
      <w:r>
        <w:t>Kavandatud § 406</w:t>
      </w:r>
      <w:r w:rsidRPr="00576FA8">
        <w:rPr>
          <w:vertAlign w:val="superscript"/>
        </w:rPr>
        <w:t>5</w:t>
      </w:r>
      <w:r>
        <w:t xml:space="preserve"> järgi ei mõjuta </w:t>
      </w:r>
      <w:r w:rsidRPr="00576FA8">
        <w:t>hageja menetlusdokumentide muutmine, sealhulgas nõude muutmine või tagasivõtmine</w:t>
      </w:r>
      <w:r>
        <w:t xml:space="preserve">, </w:t>
      </w:r>
      <w:r w:rsidRPr="00C06D10">
        <w:t>kostja õigust taotleda kuritarvitusliku kohtumenetluse tõttu tekkinud menetluskulude hüvitamist</w:t>
      </w:r>
      <w:r>
        <w:t>. Samas ei näe kavandatud § 406</w:t>
      </w:r>
      <w:r w:rsidRPr="00D71646">
        <w:rPr>
          <w:vertAlign w:val="superscript"/>
        </w:rPr>
        <w:t>5</w:t>
      </w:r>
      <w:r>
        <w:t xml:space="preserve"> ette muudatusi menetluskulude jaotuse regulatsioonis. TsMS §-i 162 või 163 võiks täiendada lõikega, mille järgi võib kohus jätta kuritarvitusliku </w:t>
      </w:r>
      <w:r w:rsidRPr="00C439B4">
        <w:t>kohtumenetluse tuvastamise korral hagi rahuldamise ulatusest hoolimata menetluskulud hageja kanda.</w:t>
      </w:r>
      <w:r w:rsidRPr="00C439B4">
        <w:rPr>
          <w:rFonts w:cs="Arial"/>
          <w:color w:val="202020"/>
          <w:shd w:val="clear" w:color="auto" w:fill="FFFFFF"/>
        </w:rPr>
        <w:t xml:space="preserve"> Kui hageja loobub hagist või võtab selle tagasi, siis kannab ta kostja menetluskulud TsMS § 168 lõike 2 alusel.</w:t>
      </w:r>
    </w:p>
    <w:p w14:paraId="6A3C926C" w14:textId="77777777" w:rsidR="00B611CF" w:rsidRDefault="00B611CF" w:rsidP="00F228D5">
      <w:pPr>
        <w:jc w:val="both"/>
        <w:rPr>
          <w:rFonts w:cs="Arial"/>
          <w:color w:val="202020"/>
          <w:shd w:val="clear" w:color="auto" w:fill="FFFFFF"/>
        </w:rPr>
      </w:pPr>
    </w:p>
    <w:p w14:paraId="5427E79D" w14:textId="22834599" w:rsidR="00B611CF" w:rsidRDefault="00394B72" w:rsidP="00672EEC">
      <w:pPr>
        <w:pStyle w:val="ListParagraph"/>
        <w:numPr>
          <w:ilvl w:val="0"/>
          <w:numId w:val="18"/>
        </w:numPr>
        <w:jc w:val="both"/>
        <w:rPr>
          <w:rFonts w:cs="Arial"/>
          <w:b/>
          <w:bCs/>
          <w:color w:val="202020"/>
          <w:shd w:val="clear" w:color="auto" w:fill="FFFFFF"/>
        </w:rPr>
      </w:pPr>
      <w:r>
        <w:rPr>
          <w:rFonts w:cs="Arial"/>
          <w:b/>
          <w:bCs/>
          <w:color w:val="202020"/>
          <w:shd w:val="clear" w:color="auto" w:fill="FFFFFF"/>
        </w:rPr>
        <w:t>Advokatuuri täiendav ettepanek s</w:t>
      </w:r>
      <w:r w:rsidR="00672EEC" w:rsidRPr="00672EEC">
        <w:rPr>
          <w:rFonts w:cs="Arial"/>
          <w:b/>
          <w:bCs/>
          <w:color w:val="202020"/>
          <w:shd w:val="clear" w:color="auto" w:fill="FFFFFF"/>
        </w:rPr>
        <w:t>eletuskirja täiendamis</w:t>
      </w:r>
      <w:r>
        <w:rPr>
          <w:rFonts w:cs="Arial"/>
          <w:b/>
          <w:bCs/>
          <w:color w:val="202020"/>
          <w:shd w:val="clear" w:color="auto" w:fill="FFFFFF"/>
        </w:rPr>
        <w:t>eks</w:t>
      </w:r>
    </w:p>
    <w:p w14:paraId="4BD43575" w14:textId="77777777" w:rsidR="00672EEC" w:rsidRDefault="00672EEC" w:rsidP="00672EEC">
      <w:pPr>
        <w:jc w:val="both"/>
        <w:rPr>
          <w:rFonts w:cs="Arial"/>
          <w:b/>
          <w:bCs/>
          <w:color w:val="202020"/>
          <w:shd w:val="clear" w:color="auto" w:fill="FFFFFF"/>
        </w:rPr>
      </w:pPr>
    </w:p>
    <w:p w14:paraId="2D70FD89" w14:textId="15C61087" w:rsidR="00672EEC" w:rsidRDefault="000E4970" w:rsidP="00672EEC">
      <w:pPr>
        <w:jc w:val="both"/>
        <w:rPr>
          <w:rFonts w:cs="Arial"/>
          <w:color w:val="202020"/>
          <w:shd w:val="clear" w:color="auto" w:fill="FFFFFF"/>
        </w:rPr>
      </w:pPr>
      <w:r>
        <w:rPr>
          <w:rFonts w:cs="Arial"/>
          <w:color w:val="202020"/>
          <w:shd w:val="clear" w:color="auto" w:fill="FFFFFF"/>
        </w:rPr>
        <w:t xml:space="preserve">Seletuskirja </w:t>
      </w:r>
      <w:r w:rsidR="00544F88">
        <w:rPr>
          <w:rFonts w:cs="Arial"/>
          <w:color w:val="202020"/>
          <w:shd w:val="clear" w:color="auto" w:fill="FFFFFF"/>
        </w:rPr>
        <w:t>p-s 2.2 on vaigistus</w:t>
      </w:r>
      <w:r w:rsidR="00066EE0">
        <w:rPr>
          <w:rFonts w:cs="Arial"/>
          <w:color w:val="202020"/>
          <w:shd w:val="clear" w:color="auto" w:fill="FFFFFF"/>
        </w:rPr>
        <w:t xml:space="preserve">kaebuste sihtmärkidena välja toodud </w:t>
      </w:r>
      <w:r w:rsidR="00C46339">
        <w:rPr>
          <w:rFonts w:cs="Arial"/>
          <w:color w:val="202020"/>
          <w:shd w:val="clear" w:color="auto" w:fill="FFFFFF"/>
        </w:rPr>
        <w:t xml:space="preserve">ajakirjanikud, õiguste kaitsjad, </w:t>
      </w:r>
      <w:r w:rsidR="00066EE0">
        <w:rPr>
          <w:rFonts w:cs="Arial"/>
          <w:color w:val="202020"/>
          <w:shd w:val="clear" w:color="auto" w:fill="FFFFFF"/>
        </w:rPr>
        <w:t>mh ka meediaagentuurid ja kodanikuühiskonna organisatsioonid, samuti teadlased</w:t>
      </w:r>
      <w:r w:rsidR="00C46339">
        <w:rPr>
          <w:rFonts w:cs="Arial"/>
          <w:color w:val="202020"/>
          <w:shd w:val="clear" w:color="auto" w:fill="FFFFFF"/>
        </w:rPr>
        <w:t xml:space="preserve"> ja akadeemiliste ringkondade esindajad. </w:t>
      </w:r>
    </w:p>
    <w:p w14:paraId="1BE04470" w14:textId="77777777" w:rsidR="00FE222F" w:rsidRDefault="00FE222F" w:rsidP="00672EEC">
      <w:pPr>
        <w:jc w:val="both"/>
        <w:rPr>
          <w:rFonts w:cs="Arial"/>
          <w:color w:val="202020"/>
          <w:shd w:val="clear" w:color="auto" w:fill="FFFFFF"/>
        </w:rPr>
      </w:pPr>
    </w:p>
    <w:p w14:paraId="0F65D326" w14:textId="52C30A7B" w:rsidR="006B3523" w:rsidRPr="006B3523" w:rsidRDefault="00FE222F" w:rsidP="006B3523">
      <w:pPr>
        <w:jc w:val="both"/>
        <w:rPr>
          <w:rFonts w:cs="Arial"/>
          <w:color w:val="202020"/>
          <w:shd w:val="clear" w:color="auto" w:fill="FFFFFF"/>
        </w:rPr>
      </w:pPr>
      <w:r>
        <w:rPr>
          <w:rFonts w:cs="Arial"/>
          <w:color w:val="202020"/>
          <w:shd w:val="clear" w:color="auto" w:fill="FFFFFF"/>
        </w:rPr>
        <w:t xml:space="preserve">Palume seletuskirjas </w:t>
      </w:r>
      <w:r w:rsidR="00217392">
        <w:rPr>
          <w:rFonts w:cs="Arial"/>
          <w:color w:val="202020"/>
          <w:shd w:val="clear" w:color="auto" w:fill="FFFFFF"/>
        </w:rPr>
        <w:t xml:space="preserve">lisaks </w:t>
      </w:r>
      <w:r>
        <w:rPr>
          <w:rFonts w:cs="Arial"/>
          <w:color w:val="202020"/>
          <w:shd w:val="clear" w:color="auto" w:fill="FFFFFF"/>
        </w:rPr>
        <w:t>markeerida, et ka advokaadid või muud esindajad</w:t>
      </w:r>
      <w:r w:rsidR="00C90932">
        <w:rPr>
          <w:rFonts w:cs="Arial"/>
          <w:color w:val="202020"/>
          <w:shd w:val="clear" w:color="auto" w:fill="FFFFFF"/>
        </w:rPr>
        <w:t xml:space="preserve"> (nt </w:t>
      </w:r>
      <w:r w:rsidR="00B163E4">
        <w:rPr>
          <w:rFonts w:cs="Arial"/>
          <w:color w:val="202020"/>
          <w:shd w:val="clear" w:color="auto" w:fill="FFFFFF"/>
        </w:rPr>
        <w:t>keskkonnateemade eestk</w:t>
      </w:r>
      <w:r w:rsidR="007422F5">
        <w:rPr>
          <w:rFonts w:cs="Arial"/>
          <w:color w:val="202020"/>
          <w:shd w:val="clear" w:color="auto" w:fill="FFFFFF"/>
        </w:rPr>
        <w:t>õnelejad</w:t>
      </w:r>
      <w:r w:rsidR="00B163E4">
        <w:rPr>
          <w:rFonts w:cs="Arial"/>
          <w:color w:val="202020"/>
          <w:shd w:val="clear" w:color="auto" w:fill="FFFFFF"/>
        </w:rPr>
        <w:t xml:space="preserve">, </w:t>
      </w:r>
      <w:r w:rsidR="00CB0FCF">
        <w:rPr>
          <w:rFonts w:cs="Arial"/>
          <w:color w:val="202020"/>
          <w:shd w:val="clear" w:color="auto" w:fill="FFFFFF"/>
        </w:rPr>
        <w:t>mõne avaliku debati nagu soolise võr</w:t>
      </w:r>
      <w:r w:rsidR="00F02073">
        <w:rPr>
          <w:rFonts w:cs="Arial"/>
          <w:color w:val="202020"/>
          <w:shd w:val="clear" w:color="auto" w:fill="FFFFFF"/>
        </w:rPr>
        <w:t>dõiguslikkuse või LBQT</w:t>
      </w:r>
      <w:r w:rsidR="00B163E4">
        <w:rPr>
          <w:rFonts w:cs="Arial"/>
          <w:color w:val="202020"/>
          <w:shd w:val="clear" w:color="auto" w:fill="FFFFFF"/>
        </w:rPr>
        <w:t xml:space="preserve"> </w:t>
      </w:r>
      <w:r w:rsidR="007422F5">
        <w:rPr>
          <w:rFonts w:cs="Arial"/>
          <w:color w:val="202020"/>
          <w:shd w:val="clear" w:color="auto" w:fill="FFFFFF"/>
        </w:rPr>
        <w:t>temaatika vedajad</w:t>
      </w:r>
      <w:r w:rsidR="00F02073">
        <w:rPr>
          <w:rFonts w:cs="Arial"/>
          <w:color w:val="202020"/>
          <w:shd w:val="clear" w:color="auto" w:fill="FFFFFF"/>
        </w:rPr>
        <w:t>)</w:t>
      </w:r>
      <w:r>
        <w:rPr>
          <w:rFonts w:cs="Arial"/>
          <w:color w:val="202020"/>
          <w:shd w:val="clear" w:color="auto" w:fill="FFFFFF"/>
        </w:rPr>
        <w:t xml:space="preserve"> </w:t>
      </w:r>
      <w:r w:rsidR="00C90932">
        <w:rPr>
          <w:rFonts w:cs="Arial"/>
          <w:color w:val="202020"/>
          <w:shd w:val="clear" w:color="auto" w:fill="FFFFFF"/>
        </w:rPr>
        <w:t>võivad vaigistamiskaebuste sihtmärgiks sattuda</w:t>
      </w:r>
      <w:r w:rsidR="007422F5">
        <w:rPr>
          <w:rFonts w:cs="Arial"/>
          <w:color w:val="202020"/>
          <w:shd w:val="clear" w:color="auto" w:fill="FFFFFF"/>
        </w:rPr>
        <w:t>.</w:t>
      </w:r>
      <w:r w:rsidR="001579C9">
        <w:rPr>
          <w:rFonts w:cs="Arial"/>
          <w:color w:val="202020"/>
          <w:shd w:val="clear" w:color="auto" w:fill="FFFFFF"/>
        </w:rPr>
        <w:t xml:space="preserve"> </w:t>
      </w:r>
      <w:r w:rsidR="00EF7FDC">
        <w:rPr>
          <w:rFonts w:cs="Arial"/>
          <w:color w:val="202020"/>
          <w:shd w:val="clear" w:color="auto" w:fill="FFFFFF"/>
        </w:rPr>
        <w:t xml:space="preserve">Juhime tähelepanu, et advokaatide ja advokaatide kutseühenduste </w:t>
      </w:r>
      <w:r w:rsidR="005A218D">
        <w:rPr>
          <w:rFonts w:cs="Arial"/>
          <w:color w:val="202020"/>
          <w:shd w:val="clear" w:color="auto" w:fill="FFFFFF"/>
        </w:rPr>
        <w:t xml:space="preserve">osas </w:t>
      </w:r>
      <w:r w:rsidR="00961129">
        <w:rPr>
          <w:rFonts w:cs="Arial"/>
          <w:color w:val="202020"/>
          <w:shd w:val="clear" w:color="auto" w:fill="FFFFFF"/>
        </w:rPr>
        <w:t xml:space="preserve">sätestab </w:t>
      </w:r>
      <w:r w:rsidR="00EE03E4">
        <w:rPr>
          <w:rFonts w:cs="Arial"/>
          <w:color w:val="202020"/>
          <w:shd w:val="clear" w:color="auto" w:fill="FFFFFF"/>
        </w:rPr>
        <w:t>ka Advokaadikutse kaitse konventsiooni</w:t>
      </w:r>
      <w:r w:rsidR="00010403">
        <w:rPr>
          <w:rStyle w:val="FootnoteReference"/>
          <w:rFonts w:cs="Arial"/>
          <w:color w:val="202020"/>
          <w:shd w:val="clear" w:color="auto" w:fill="FFFFFF"/>
        </w:rPr>
        <w:footnoteReference w:id="3"/>
      </w:r>
      <w:r w:rsidR="003432D7">
        <w:rPr>
          <w:rFonts w:cs="Arial"/>
          <w:color w:val="202020"/>
          <w:shd w:val="clear" w:color="auto" w:fill="FFFFFF"/>
        </w:rPr>
        <w:t xml:space="preserve"> </w:t>
      </w:r>
      <w:r w:rsidR="00217392">
        <w:rPr>
          <w:rFonts w:cs="Arial"/>
          <w:color w:val="202020"/>
          <w:shd w:val="clear" w:color="auto" w:fill="FFFFFF"/>
        </w:rPr>
        <w:t>art</w:t>
      </w:r>
      <w:r w:rsidR="00831EC8">
        <w:rPr>
          <w:rFonts w:cs="Arial"/>
          <w:color w:val="202020"/>
          <w:shd w:val="clear" w:color="auto" w:fill="FFFFFF"/>
        </w:rPr>
        <w:t>ik</w:t>
      </w:r>
      <w:r w:rsidR="00C817B1">
        <w:rPr>
          <w:rFonts w:cs="Arial"/>
          <w:color w:val="202020"/>
          <w:shd w:val="clear" w:color="auto" w:fill="FFFFFF"/>
        </w:rPr>
        <w:t>li</w:t>
      </w:r>
      <w:r w:rsidR="003432D7">
        <w:rPr>
          <w:rFonts w:cs="Arial"/>
          <w:color w:val="202020"/>
          <w:shd w:val="clear" w:color="auto" w:fill="FFFFFF"/>
        </w:rPr>
        <w:t xml:space="preserve"> 9 l</w:t>
      </w:r>
      <w:r w:rsidR="00831EC8">
        <w:rPr>
          <w:rFonts w:cs="Arial"/>
          <w:color w:val="202020"/>
          <w:shd w:val="clear" w:color="auto" w:fill="FFFFFF"/>
        </w:rPr>
        <w:t>õike</w:t>
      </w:r>
      <w:r w:rsidR="003432D7">
        <w:rPr>
          <w:rFonts w:cs="Arial"/>
          <w:color w:val="202020"/>
          <w:shd w:val="clear" w:color="auto" w:fill="FFFFFF"/>
        </w:rPr>
        <w:t xml:space="preserve"> 4 </w:t>
      </w:r>
      <w:r w:rsidR="00831EC8">
        <w:rPr>
          <w:rFonts w:cs="Arial"/>
          <w:color w:val="202020"/>
          <w:shd w:val="clear" w:color="auto" w:fill="FFFFFF"/>
        </w:rPr>
        <w:t>punktid</w:t>
      </w:r>
      <w:r w:rsidR="003E6CEF">
        <w:rPr>
          <w:rFonts w:cs="Arial"/>
          <w:color w:val="202020"/>
          <w:shd w:val="clear" w:color="auto" w:fill="FFFFFF"/>
        </w:rPr>
        <w:t xml:space="preserve"> a-b </w:t>
      </w:r>
      <w:r w:rsidR="003432D7">
        <w:rPr>
          <w:rFonts w:cs="Arial"/>
          <w:color w:val="202020"/>
          <w:shd w:val="clear" w:color="auto" w:fill="FFFFFF"/>
        </w:rPr>
        <w:t xml:space="preserve">konventsiooniosaliste kohustuse tagada, et </w:t>
      </w:r>
      <w:r w:rsidR="006B3523" w:rsidRPr="006B3523">
        <w:rPr>
          <w:rFonts w:cs="Arial"/>
          <w:color w:val="202020"/>
          <w:shd w:val="clear" w:color="auto" w:fill="FFFFFF"/>
        </w:rPr>
        <w:t>advokaadid ja nende kutseühendused saavad tegeleda oma kutsetegevusega ja teostada konventsiooni artiklis 7 sätestatud õigusi ilma</w:t>
      </w:r>
      <w:r w:rsidR="006B3523">
        <w:rPr>
          <w:rFonts w:cs="Arial"/>
          <w:color w:val="202020"/>
          <w:shd w:val="clear" w:color="auto" w:fill="FFFFFF"/>
        </w:rPr>
        <w:t xml:space="preserve"> </w:t>
      </w:r>
      <w:r w:rsidR="006B3523" w:rsidRPr="006B3523">
        <w:rPr>
          <w:rFonts w:cs="Arial"/>
          <w:color w:val="202020"/>
          <w:shd w:val="clear" w:color="auto" w:fill="FFFFFF"/>
        </w:rPr>
        <w:t>mis tahes vormis füüsilise kallaletungi, ähvarduse, ahistamise või hirmutamise ohvriks langemata või ebasobiva takistamise või sekkumiseta</w:t>
      </w:r>
      <w:r w:rsidR="006B3523">
        <w:rPr>
          <w:rFonts w:cs="Arial"/>
          <w:color w:val="202020"/>
          <w:shd w:val="clear" w:color="auto" w:fill="FFFFFF"/>
        </w:rPr>
        <w:t xml:space="preserve"> ning </w:t>
      </w:r>
      <w:r w:rsidR="006B3523" w:rsidRPr="006B3523">
        <w:rPr>
          <w:rFonts w:cs="Arial"/>
          <w:color w:val="202020"/>
          <w:shd w:val="clear" w:color="auto" w:fill="FFFFFF"/>
        </w:rPr>
        <w:t>hoiduvad nimetatud käitumisest</w:t>
      </w:r>
      <w:r w:rsidR="006B3523">
        <w:rPr>
          <w:rFonts w:cs="Arial"/>
          <w:color w:val="202020"/>
          <w:shd w:val="clear" w:color="auto" w:fill="FFFFFF"/>
        </w:rPr>
        <w:t xml:space="preserve">. </w:t>
      </w:r>
    </w:p>
    <w:p w14:paraId="2623A4CD" w14:textId="77777777" w:rsidR="00672EEC" w:rsidRPr="00672EEC" w:rsidRDefault="00672EEC" w:rsidP="00672EEC">
      <w:pPr>
        <w:jc w:val="both"/>
        <w:rPr>
          <w:rFonts w:cs="Arial"/>
          <w:b/>
          <w:bCs/>
          <w:color w:val="202020"/>
          <w:shd w:val="clear" w:color="auto" w:fill="FFFFFF"/>
        </w:rPr>
      </w:pPr>
    </w:p>
    <w:p w14:paraId="2D8664C5" w14:textId="77777777" w:rsidR="00672EEC" w:rsidRDefault="00672EEC" w:rsidP="00F228D5">
      <w:pPr>
        <w:jc w:val="both"/>
        <w:rPr>
          <w:rFonts w:cs="Arial"/>
          <w:color w:val="202020"/>
          <w:shd w:val="clear" w:color="auto" w:fill="FFFFFF"/>
        </w:rPr>
      </w:pPr>
    </w:p>
    <w:p w14:paraId="4642E696" w14:textId="77777777" w:rsidR="00F5013E" w:rsidRDefault="00F5013E" w:rsidP="00F228D5">
      <w:pPr>
        <w:jc w:val="both"/>
        <w:rPr>
          <w:rFonts w:cs="Arial"/>
          <w:color w:val="202020"/>
          <w:shd w:val="clear" w:color="auto" w:fill="FFFFFF"/>
        </w:rPr>
      </w:pPr>
    </w:p>
    <w:p w14:paraId="631E060F" w14:textId="77777777" w:rsidR="00B611CF" w:rsidRPr="00CF392C" w:rsidRDefault="00B611CF" w:rsidP="00F228D5">
      <w:pPr>
        <w:jc w:val="both"/>
        <w:rPr>
          <w:szCs w:val="24"/>
        </w:rPr>
      </w:pPr>
    </w:p>
    <w:p w14:paraId="3894BA9D" w14:textId="77777777" w:rsidR="0019780D" w:rsidRPr="00CF392C" w:rsidRDefault="0019780D" w:rsidP="00F228D5">
      <w:pPr>
        <w:jc w:val="both"/>
        <w:rPr>
          <w:b/>
          <w:bCs/>
          <w:szCs w:val="24"/>
        </w:rPr>
      </w:pPr>
      <w:r w:rsidRPr="00CF392C">
        <w:rPr>
          <w:szCs w:val="24"/>
        </w:rPr>
        <w:t>Lugupidamisega</w:t>
      </w:r>
    </w:p>
    <w:p w14:paraId="3CC7F4BF" w14:textId="77777777" w:rsidR="0019780D" w:rsidRPr="00CF392C" w:rsidRDefault="0019780D" w:rsidP="00F228D5">
      <w:pPr>
        <w:pStyle w:val="Body"/>
        <w:jc w:val="both"/>
        <w:rPr>
          <w:rFonts w:cs="Times New Roman"/>
          <w:i/>
          <w:iCs/>
        </w:rPr>
      </w:pPr>
    </w:p>
    <w:p w14:paraId="5E0529D0" w14:textId="77777777" w:rsidR="0019780D" w:rsidRPr="00CF392C" w:rsidRDefault="0019780D" w:rsidP="00F228D5">
      <w:pPr>
        <w:pStyle w:val="Body"/>
        <w:jc w:val="both"/>
        <w:rPr>
          <w:rFonts w:cs="Times New Roman"/>
          <w:i/>
          <w:iCs/>
        </w:rPr>
      </w:pPr>
      <w:r w:rsidRPr="00CF392C">
        <w:rPr>
          <w:rFonts w:cs="Times New Roman"/>
          <w:i/>
          <w:iCs/>
        </w:rPr>
        <w:t>allkirjastatud digitaalselt</w:t>
      </w:r>
    </w:p>
    <w:p w14:paraId="0721F605" w14:textId="77777777" w:rsidR="0019780D" w:rsidRPr="00CF392C" w:rsidRDefault="0019780D" w:rsidP="00F228D5">
      <w:pPr>
        <w:pStyle w:val="Body"/>
        <w:jc w:val="both"/>
        <w:rPr>
          <w:rFonts w:cs="Times New Roman"/>
        </w:rPr>
      </w:pPr>
    </w:p>
    <w:p w14:paraId="3CE7CF0B" w14:textId="77777777" w:rsidR="0019780D" w:rsidRPr="00CF392C" w:rsidRDefault="0019780D" w:rsidP="00F228D5">
      <w:pPr>
        <w:pStyle w:val="Body"/>
        <w:jc w:val="both"/>
        <w:rPr>
          <w:rFonts w:cs="Times New Roman"/>
        </w:rPr>
      </w:pPr>
      <w:r w:rsidRPr="00CF392C">
        <w:rPr>
          <w:rFonts w:cs="Times New Roman"/>
        </w:rPr>
        <w:t>Imbi Jürgen</w:t>
      </w:r>
    </w:p>
    <w:p w14:paraId="23FEBFCD" w14:textId="77777777" w:rsidR="0019780D" w:rsidRPr="00CF392C" w:rsidRDefault="0019780D" w:rsidP="00F228D5">
      <w:pPr>
        <w:pStyle w:val="Body"/>
        <w:jc w:val="both"/>
        <w:rPr>
          <w:rFonts w:cs="Times New Roman"/>
        </w:rPr>
      </w:pPr>
      <w:r w:rsidRPr="00CF392C">
        <w:rPr>
          <w:rFonts w:cs="Times New Roman"/>
        </w:rPr>
        <w:t>Esimees</w:t>
      </w:r>
    </w:p>
    <w:p w14:paraId="0A20B27E" w14:textId="77777777" w:rsidR="0060121B" w:rsidRDefault="0060121B" w:rsidP="00F228D5">
      <w:pPr>
        <w:pStyle w:val="Body"/>
        <w:jc w:val="both"/>
        <w:rPr>
          <w:rFonts w:cs="Times New Roman"/>
        </w:rPr>
      </w:pPr>
    </w:p>
    <w:p w14:paraId="3874A4C8" w14:textId="77777777" w:rsidR="005613ED" w:rsidRDefault="005613ED" w:rsidP="00F228D5">
      <w:pPr>
        <w:pStyle w:val="Body"/>
        <w:jc w:val="both"/>
        <w:rPr>
          <w:rFonts w:cs="Times New Roman"/>
        </w:rPr>
      </w:pPr>
    </w:p>
    <w:p w14:paraId="1FC473E4" w14:textId="77777777" w:rsidR="005613ED" w:rsidRPr="00CF392C" w:rsidRDefault="005613ED" w:rsidP="00F228D5">
      <w:pPr>
        <w:pStyle w:val="Body"/>
        <w:jc w:val="both"/>
        <w:rPr>
          <w:rFonts w:cs="Times New Roman"/>
        </w:rPr>
      </w:pPr>
    </w:p>
    <w:p w14:paraId="3FEF9C00" w14:textId="77777777" w:rsidR="002055A5" w:rsidRDefault="002055A5" w:rsidP="00F228D5">
      <w:pPr>
        <w:pStyle w:val="Body"/>
        <w:jc w:val="both"/>
        <w:rPr>
          <w:rFonts w:cs="Times New Roman"/>
        </w:rPr>
      </w:pPr>
    </w:p>
    <w:p w14:paraId="52EB6B55" w14:textId="77777777" w:rsidR="002055A5" w:rsidRPr="00CF392C" w:rsidRDefault="002055A5" w:rsidP="00F228D5">
      <w:pPr>
        <w:pStyle w:val="Body"/>
        <w:jc w:val="both"/>
        <w:rPr>
          <w:rFonts w:cs="Times New Roman"/>
        </w:rPr>
      </w:pPr>
    </w:p>
    <w:p w14:paraId="441683FB" w14:textId="77777777" w:rsidR="0019780D" w:rsidRPr="00CF392C" w:rsidRDefault="0019780D" w:rsidP="00F228D5">
      <w:pPr>
        <w:pStyle w:val="Body"/>
        <w:jc w:val="both"/>
        <w:rPr>
          <w:rFonts w:cs="Times New Roman"/>
        </w:rPr>
      </w:pPr>
      <w:r w:rsidRPr="00CF392C">
        <w:rPr>
          <w:rFonts w:cs="Times New Roman"/>
        </w:rPr>
        <w:t>Merit Aavekukk-Tamm 6979 253</w:t>
      </w:r>
    </w:p>
    <w:p w14:paraId="2ED21D02" w14:textId="77777777" w:rsidR="0019780D" w:rsidRPr="00CF392C" w:rsidRDefault="0019780D" w:rsidP="00F228D5">
      <w:pPr>
        <w:pStyle w:val="Body"/>
        <w:jc w:val="both"/>
        <w:rPr>
          <w:rFonts w:cs="Times New Roman"/>
        </w:rPr>
      </w:pPr>
      <w:r w:rsidRPr="00CF392C">
        <w:rPr>
          <w:rFonts w:cs="Times New Roman"/>
        </w:rPr>
        <w:t>merit.aavekukk-tamm@advokatuur.ee</w:t>
      </w:r>
    </w:p>
    <w:p w14:paraId="09DF826D" w14:textId="77777777" w:rsidR="007C1294" w:rsidRPr="00CF392C" w:rsidRDefault="007C1294" w:rsidP="00F228D5">
      <w:pPr>
        <w:widowControl/>
        <w:suppressAutoHyphens w:val="0"/>
        <w:spacing w:after="200"/>
        <w:jc w:val="both"/>
        <w:rPr>
          <w:szCs w:val="24"/>
        </w:rPr>
      </w:pPr>
    </w:p>
    <w:sectPr w:rsidR="007C1294" w:rsidRPr="00CF392C" w:rsidSect="009750DC">
      <w:footerReference w:type="default" r:id="rId8"/>
      <w:headerReference w:type="first" r:id="rId9"/>
      <w:footerReference w:type="first" r:id="rId10"/>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0213" w14:textId="77777777" w:rsidR="009E138D" w:rsidRDefault="009E138D" w:rsidP="00F636B5">
      <w:r>
        <w:separator/>
      </w:r>
    </w:p>
  </w:endnote>
  <w:endnote w:type="continuationSeparator" w:id="0">
    <w:p w14:paraId="327D11BB" w14:textId="77777777" w:rsidR="009E138D" w:rsidRDefault="009E138D"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EndPr/>
    <w:sdtContent>
      <w:p w14:paraId="38ED816D" w14:textId="36332E45" w:rsidR="007C5836" w:rsidRDefault="007C5836">
        <w:pPr>
          <w:pStyle w:val="Footer"/>
          <w:jc w:val="right"/>
        </w:pPr>
        <w:r>
          <w:fldChar w:fldCharType="begin"/>
        </w:r>
        <w:r>
          <w:instrText>PAGE   \* MERGEFORMAT</w:instrText>
        </w:r>
        <w:r>
          <w:fldChar w:fldCharType="separate"/>
        </w:r>
        <w:r>
          <w:t>2</w:t>
        </w:r>
        <w:r>
          <w:fldChar w:fldCharType="end"/>
        </w:r>
      </w:p>
    </w:sdtContent>
  </w:sdt>
  <w:p w14:paraId="0AD8C440" w14:textId="77777777" w:rsidR="007C5836"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r w:rsidRPr="008A5914">
      <w:rPr>
        <w:rFonts w:ascii="Times New Roman" w:hAnsi="Times New Roman" w:cs="Times New Roman"/>
        <w:sz w:val="24"/>
        <w:szCs w:val="24"/>
      </w:rPr>
      <w:t xml:space="preserve">Reg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29E6" w14:textId="77777777" w:rsidR="009E138D" w:rsidRDefault="009E138D" w:rsidP="00F636B5">
      <w:r>
        <w:separator/>
      </w:r>
    </w:p>
  </w:footnote>
  <w:footnote w:type="continuationSeparator" w:id="0">
    <w:p w14:paraId="06601C24" w14:textId="77777777" w:rsidR="009E138D" w:rsidRDefault="009E138D" w:rsidP="00F636B5">
      <w:r>
        <w:continuationSeparator/>
      </w:r>
    </w:p>
  </w:footnote>
  <w:footnote w:id="1">
    <w:p w14:paraId="0B79BA59" w14:textId="34EC76AF" w:rsidR="002E1259" w:rsidRDefault="002E1259">
      <w:pPr>
        <w:pStyle w:val="FootnoteText"/>
      </w:pPr>
      <w:r>
        <w:rPr>
          <w:rStyle w:val="FootnoteReference"/>
        </w:rPr>
        <w:footnoteRef/>
      </w:r>
      <w:r>
        <w:t xml:space="preserve"> RKTK</w:t>
      </w:r>
      <w:r w:rsidR="003C574C">
        <w:t>o 02.06.2008 otsus asjas nr 3-2-1-39-08, p 16.</w:t>
      </w:r>
    </w:p>
  </w:footnote>
  <w:footnote w:id="2">
    <w:p w14:paraId="37C0AF7E" w14:textId="500D3BB4" w:rsidR="00C52E75" w:rsidRDefault="00C52E75">
      <w:pPr>
        <w:pStyle w:val="FootnoteText"/>
      </w:pPr>
      <w:r>
        <w:rPr>
          <w:rStyle w:val="FootnoteReference"/>
        </w:rPr>
        <w:footnoteRef/>
      </w:r>
      <w:r>
        <w:t xml:space="preserve"> </w:t>
      </w:r>
      <w:r w:rsidR="00026096">
        <w:t xml:space="preserve">Vt nt </w:t>
      </w:r>
      <w:r>
        <w:t xml:space="preserve">RKTKo 11.02.2016 asjas nr 3-2-1-171-15, p </w:t>
      </w:r>
      <w:r w:rsidR="00ED2444">
        <w:t>13; RKTKo 16.03.2016 otsus, p 11.</w:t>
      </w:r>
    </w:p>
  </w:footnote>
  <w:footnote w:id="3">
    <w:p w14:paraId="041B2AA7" w14:textId="74F30669" w:rsidR="00010403" w:rsidRDefault="00010403">
      <w:pPr>
        <w:pStyle w:val="FootnoteText"/>
      </w:pPr>
      <w:r>
        <w:rPr>
          <w:rStyle w:val="FootnoteReference"/>
        </w:rPr>
        <w:footnoteRef/>
      </w:r>
      <w:r>
        <w:t xml:space="preserve"> Kättesaadav: </w:t>
      </w:r>
      <w:hyperlink r:id="rId1" w:history="1">
        <w:r w:rsidRPr="003F7D2D">
          <w:rPr>
            <w:rStyle w:val="Hyperlink"/>
          </w:rPr>
          <w:t>https://www.coe.int/en/web/conventions/full-list?module=treaty-detail&amp;treatynum=226</w:t>
        </w:r>
      </w:hyperlink>
      <w:r w:rsidR="00634869">
        <w:t>. Eesti on konventsiooniga liitunud 13.05.2025.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94664ED"/>
    <w:multiLevelType w:val="hybridMultilevel"/>
    <w:tmpl w:val="E8DC05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803768504">
    <w:abstractNumId w:val="9"/>
  </w:num>
  <w:num w:numId="2" w16cid:durableId="1646662979">
    <w:abstractNumId w:val="6"/>
  </w:num>
  <w:num w:numId="3" w16cid:durableId="670370934">
    <w:abstractNumId w:val="12"/>
  </w:num>
  <w:num w:numId="4" w16cid:durableId="268205002">
    <w:abstractNumId w:val="17"/>
  </w:num>
  <w:num w:numId="5" w16cid:durableId="110756145">
    <w:abstractNumId w:val="15"/>
  </w:num>
  <w:num w:numId="6" w16cid:durableId="1722634604">
    <w:abstractNumId w:val="14"/>
  </w:num>
  <w:num w:numId="7" w16cid:durableId="1745568620">
    <w:abstractNumId w:val="16"/>
  </w:num>
  <w:num w:numId="8" w16cid:durableId="771054327">
    <w:abstractNumId w:val="8"/>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1"/>
  </w:num>
  <w:num w:numId="16" w16cid:durableId="1725255570">
    <w:abstractNumId w:val="13"/>
  </w:num>
  <w:num w:numId="17" w16cid:durableId="1052652794">
    <w:abstractNumId w:val="7"/>
  </w:num>
  <w:num w:numId="18" w16cid:durableId="66655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03A0"/>
    <w:rsid w:val="00010403"/>
    <w:rsid w:val="00013EA5"/>
    <w:rsid w:val="00016530"/>
    <w:rsid w:val="00017824"/>
    <w:rsid w:val="00020876"/>
    <w:rsid w:val="00023C71"/>
    <w:rsid w:val="00026096"/>
    <w:rsid w:val="000303B7"/>
    <w:rsid w:val="00030C84"/>
    <w:rsid w:val="000359CD"/>
    <w:rsid w:val="00044487"/>
    <w:rsid w:val="00055AD5"/>
    <w:rsid w:val="00055BB1"/>
    <w:rsid w:val="00066EE0"/>
    <w:rsid w:val="00084202"/>
    <w:rsid w:val="00093B41"/>
    <w:rsid w:val="00095AD0"/>
    <w:rsid w:val="00096371"/>
    <w:rsid w:val="000B3492"/>
    <w:rsid w:val="000C07F6"/>
    <w:rsid w:val="000C0A09"/>
    <w:rsid w:val="000C43DB"/>
    <w:rsid w:val="000C54F1"/>
    <w:rsid w:val="000C75B3"/>
    <w:rsid w:val="000D6865"/>
    <w:rsid w:val="000E2E3A"/>
    <w:rsid w:val="000E4970"/>
    <w:rsid w:val="0010575C"/>
    <w:rsid w:val="00105B86"/>
    <w:rsid w:val="001162A8"/>
    <w:rsid w:val="00117B0A"/>
    <w:rsid w:val="00130A2F"/>
    <w:rsid w:val="00137BFA"/>
    <w:rsid w:val="001427DB"/>
    <w:rsid w:val="00151F19"/>
    <w:rsid w:val="001532C7"/>
    <w:rsid w:val="00157553"/>
    <w:rsid w:val="001579C9"/>
    <w:rsid w:val="0016031A"/>
    <w:rsid w:val="001628A5"/>
    <w:rsid w:val="00167D51"/>
    <w:rsid w:val="00181B2F"/>
    <w:rsid w:val="0019780D"/>
    <w:rsid w:val="001B0802"/>
    <w:rsid w:val="001C5387"/>
    <w:rsid w:val="001D024A"/>
    <w:rsid w:val="001D1053"/>
    <w:rsid w:val="001D45C2"/>
    <w:rsid w:val="001D520B"/>
    <w:rsid w:val="001E09FD"/>
    <w:rsid w:val="001F434A"/>
    <w:rsid w:val="002055A5"/>
    <w:rsid w:val="00206ABF"/>
    <w:rsid w:val="002165B6"/>
    <w:rsid w:val="00217392"/>
    <w:rsid w:val="002354B3"/>
    <w:rsid w:val="0023555C"/>
    <w:rsid w:val="00237355"/>
    <w:rsid w:val="00240D3C"/>
    <w:rsid w:val="0024366C"/>
    <w:rsid w:val="0025512D"/>
    <w:rsid w:val="00256769"/>
    <w:rsid w:val="00273597"/>
    <w:rsid w:val="002845FB"/>
    <w:rsid w:val="00287682"/>
    <w:rsid w:val="002A190D"/>
    <w:rsid w:val="002B6937"/>
    <w:rsid w:val="002B6A92"/>
    <w:rsid w:val="002C2B55"/>
    <w:rsid w:val="002C7008"/>
    <w:rsid w:val="002C7FDA"/>
    <w:rsid w:val="002D3C37"/>
    <w:rsid w:val="002E1259"/>
    <w:rsid w:val="002E39A0"/>
    <w:rsid w:val="00303698"/>
    <w:rsid w:val="00303A89"/>
    <w:rsid w:val="00315CFF"/>
    <w:rsid w:val="00315D7C"/>
    <w:rsid w:val="00316F56"/>
    <w:rsid w:val="003369BE"/>
    <w:rsid w:val="00341BD2"/>
    <w:rsid w:val="003432D7"/>
    <w:rsid w:val="00353D2A"/>
    <w:rsid w:val="003571DF"/>
    <w:rsid w:val="003642F2"/>
    <w:rsid w:val="003650B8"/>
    <w:rsid w:val="00391662"/>
    <w:rsid w:val="00394B72"/>
    <w:rsid w:val="003A79EC"/>
    <w:rsid w:val="003B32BC"/>
    <w:rsid w:val="003B5DB0"/>
    <w:rsid w:val="003B711F"/>
    <w:rsid w:val="003C183F"/>
    <w:rsid w:val="003C510E"/>
    <w:rsid w:val="003C574C"/>
    <w:rsid w:val="003D4306"/>
    <w:rsid w:val="003D7DFB"/>
    <w:rsid w:val="003E0F02"/>
    <w:rsid w:val="003E6CEF"/>
    <w:rsid w:val="003F2C57"/>
    <w:rsid w:val="003F3223"/>
    <w:rsid w:val="003F55D3"/>
    <w:rsid w:val="003F74EE"/>
    <w:rsid w:val="00400F19"/>
    <w:rsid w:val="00403D0B"/>
    <w:rsid w:val="00422EA6"/>
    <w:rsid w:val="00425450"/>
    <w:rsid w:val="00426407"/>
    <w:rsid w:val="00435FCE"/>
    <w:rsid w:val="00437F27"/>
    <w:rsid w:val="0044481E"/>
    <w:rsid w:val="00450C77"/>
    <w:rsid w:val="00460748"/>
    <w:rsid w:val="00467C99"/>
    <w:rsid w:val="00482399"/>
    <w:rsid w:val="00482DDD"/>
    <w:rsid w:val="004946FF"/>
    <w:rsid w:val="004A43BD"/>
    <w:rsid w:val="004A73F3"/>
    <w:rsid w:val="004B6958"/>
    <w:rsid w:val="004B70A9"/>
    <w:rsid w:val="004D7194"/>
    <w:rsid w:val="004E071F"/>
    <w:rsid w:val="004E2A8E"/>
    <w:rsid w:val="004F17D0"/>
    <w:rsid w:val="004F2604"/>
    <w:rsid w:val="004F4B91"/>
    <w:rsid w:val="0050345A"/>
    <w:rsid w:val="005153AE"/>
    <w:rsid w:val="00530D4D"/>
    <w:rsid w:val="005414E4"/>
    <w:rsid w:val="00544F88"/>
    <w:rsid w:val="0056018A"/>
    <w:rsid w:val="005613ED"/>
    <w:rsid w:val="00561FA5"/>
    <w:rsid w:val="00565B34"/>
    <w:rsid w:val="00566C9C"/>
    <w:rsid w:val="00571C6B"/>
    <w:rsid w:val="00575345"/>
    <w:rsid w:val="00592D13"/>
    <w:rsid w:val="005A218D"/>
    <w:rsid w:val="005A3081"/>
    <w:rsid w:val="005A5FFA"/>
    <w:rsid w:val="005A7619"/>
    <w:rsid w:val="005A7A00"/>
    <w:rsid w:val="005B7535"/>
    <w:rsid w:val="005C0440"/>
    <w:rsid w:val="005D55D8"/>
    <w:rsid w:val="005E18E1"/>
    <w:rsid w:val="005E22C8"/>
    <w:rsid w:val="005E310E"/>
    <w:rsid w:val="005F0EEC"/>
    <w:rsid w:val="0060121B"/>
    <w:rsid w:val="006021FB"/>
    <w:rsid w:val="00611135"/>
    <w:rsid w:val="00612C73"/>
    <w:rsid w:val="00612C7D"/>
    <w:rsid w:val="00616733"/>
    <w:rsid w:val="00625756"/>
    <w:rsid w:val="00634869"/>
    <w:rsid w:val="00635DF3"/>
    <w:rsid w:val="00642DF8"/>
    <w:rsid w:val="00647B61"/>
    <w:rsid w:val="006510A1"/>
    <w:rsid w:val="00664190"/>
    <w:rsid w:val="00665C8B"/>
    <w:rsid w:val="00672EEC"/>
    <w:rsid w:val="00677494"/>
    <w:rsid w:val="00680B8C"/>
    <w:rsid w:val="0068285F"/>
    <w:rsid w:val="00684C55"/>
    <w:rsid w:val="006931E2"/>
    <w:rsid w:val="00693738"/>
    <w:rsid w:val="0069797C"/>
    <w:rsid w:val="006B3523"/>
    <w:rsid w:val="006B4427"/>
    <w:rsid w:val="006B5B2D"/>
    <w:rsid w:val="006E1744"/>
    <w:rsid w:val="006E36A8"/>
    <w:rsid w:val="006F33C4"/>
    <w:rsid w:val="006F4144"/>
    <w:rsid w:val="00713E28"/>
    <w:rsid w:val="00723080"/>
    <w:rsid w:val="007268E8"/>
    <w:rsid w:val="007349E9"/>
    <w:rsid w:val="007355C2"/>
    <w:rsid w:val="007422F5"/>
    <w:rsid w:val="00752DFB"/>
    <w:rsid w:val="00764C0D"/>
    <w:rsid w:val="007725F2"/>
    <w:rsid w:val="007763E8"/>
    <w:rsid w:val="00784168"/>
    <w:rsid w:val="0078736E"/>
    <w:rsid w:val="00796DCE"/>
    <w:rsid w:val="00796FF9"/>
    <w:rsid w:val="007A0F9F"/>
    <w:rsid w:val="007A3458"/>
    <w:rsid w:val="007B03AA"/>
    <w:rsid w:val="007B0A1F"/>
    <w:rsid w:val="007B6251"/>
    <w:rsid w:val="007C1294"/>
    <w:rsid w:val="007C5836"/>
    <w:rsid w:val="007D10DB"/>
    <w:rsid w:val="007D6DD1"/>
    <w:rsid w:val="007E2F93"/>
    <w:rsid w:val="007E3CF7"/>
    <w:rsid w:val="007E5289"/>
    <w:rsid w:val="007F2DCD"/>
    <w:rsid w:val="007F430A"/>
    <w:rsid w:val="00803FC5"/>
    <w:rsid w:val="00804E78"/>
    <w:rsid w:val="00805181"/>
    <w:rsid w:val="00813B73"/>
    <w:rsid w:val="008245D7"/>
    <w:rsid w:val="00831EC8"/>
    <w:rsid w:val="0083607D"/>
    <w:rsid w:val="00843131"/>
    <w:rsid w:val="00846295"/>
    <w:rsid w:val="00851BD3"/>
    <w:rsid w:val="00856C34"/>
    <w:rsid w:val="00864014"/>
    <w:rsid w:val="00865EE7"/>
    <w:rsid w:val="00872B7C"/>
    <w:rsid w:val="0088474E"/>
    <w:rsid w:val="00887F56"/>
    <w:rsid w:val="0089508E"/>
    <w:rsid w:val="00895A4E"/>
    <w:rsid w:val="00895C67"/>
    <w:rsid w:val="008960C2"/>
    <w:rsid w:val="008A5914"/>
    <w:rsid w:val="008B3A07"/>
    <w:rsid w:val="008B3EC3"/>
    <w:rsid w:val="008B4C05"/>
    <w:rsid w:val="008B5BD0"/>
    <w:rsid w:val="008B7034"/>
    <w:rsid w:val="008C1863"/>
    <w:rsid w:val="008C50FC"/>
    <w:rsid w:val="008E0E41"/>
    <w:rsid w:val="008E514D"/>
    <w:rsid w:val="008E72EF"/>
    <w:rsid w:val="008F43AC"/>
    <w:rsid w:val="00910375"/>
    <w:rsid w:val="00914A43"/>
    <w:rsid w:val="0091669D"/>
    <w:rsid w:val="009173C9"/>
    <w:rsid w:val="00936CA5"/>
    <w:rsid w:val="009435D0"/>
    <w:rsid w:val="00945EEA"/>
    <w:rsid w:val="0095750D"/>
    <w:rsid w:val="00961129"/>
    <w:rsid w:val="00961AC5"/>
    <w:rsid w:val="00970944"/>
    <w:rsid w:val="009750DC"/>
    <w:rsid w:val="00975C75"/>
    <w:rsid w:val="009761BC"/>
    <w:rsid w:val="009941E7"/>
    <w:rsid w:val="00995853"/>
    <w:rsid w:val="009975BC"/>
    <w:rsid w:val="009B139B"/>
    <w:rsid w:val="009D1490"/>
    <w:rsid w:val="009D15C9"/>
    <w:rsid w:val="009D60B9"/>
    <w:rsid w:val="009E138D"/>
    <w:rsid w:val="009E40E3"/>
    <w:rsid w:val="009E78AD"/>
    <w:rsid w:val="009F2DE9"/>
    <w:rsid w:val="009F2FAE"/>
    <w:rsid w:val="009F625B"/>
    <w:rsid w:val="00A03FE7"/>
    <w:rsid w:val="00A077CA"/>
    <w:rsid w:val="00A14D0B"/>
    <w:rsid w:val="00A17313"/>
    <w:rsid w:val="00A207C3"/>
    <w:rsid w:val="00A21E05"/>
    <w:rsid w:val="00A326D2"/>
    <w:rsid w:val="00A420BD"/>
    <w:rsid w:val="00A56D65"/>
    <w:rsid w:val="00A624F8"/>
    <w:rsid w:val="00A657C0"/>
    <w:rsid w:val="00A72B3E"/>
    <w:rsid w:val="00A80087"/>
    <w:rsid w:val="00A976E1"/>
    <w:rsid w:val="00AA5CF4"/>
    <w:rsid w:val="00AB32D8"/>
    <w:rsid w:val="00AD533F"/>
    <w:rsid w:val="00AE36CD"/>
    <w:rsid w:val="00AF100C"/>
    <w:rsid w:val="00AF16A7"/>
    <w:rsid w:val="00AF7ACE"/>
    <w:rsid w:val="00B01460"/>
    <w:rsid w:val="00B0396F"/>
    <w:rsid w:val="00B163E4"/>
    <w:rsid w:val="00B248A7"/>
    <w:rsid w:val="00B314A7"/>
    <w:rsid w:val="00B611CF"/>
    <w:rsid w:val="00B66343"/>
    <w:rsid w:val="00B81C29"/>
    <w:rsid w:val="00B90D5B"/>
    <w:rsid w:val="00BB1263"/>
    <w:rsid w:val="00BB5046"/>
    <w:rsid w:val="00BB728C"/>
    <w:rsid w:val="00BD0D8C"/>
    <w:rsid w:val="00BD4274"/>
    <w:rsid w:val="00BE0B9A"/>
    <w:rsid w:val="00C15046"/>
    <w:rsid w:val="00C35CDA"/>
    <w:rsid w:val="00C373DE"/>
    <w:rsid w:val="00C37E43"/>
    <w:rsid w:val="00C44D43"/>
    <w:rsid w:val="00C46339"/>
    <w:rsid w:val="00C52E75"/>
    <w:rsid w:val="00C61DF7"/>
    <w:rsid w:val="00C67B63"/>
    <w:rsid w:val="00C817B1"/>
    <w:rsid w:val="00C820C9"/>
    <w:rsid w:val="00C83BE3"/>
    <w:rsid w:val="00C87C5D"/>
    <w:rsid w:val="00C90932"/>
    <w:rsid w:val="00CA0090"/>
    <w:rsid w:val="00CA59FB"/>
    <w:rsid w:val="00CB0722"/>
    <w:rsid w:val="00CB0FCF"/>
    <w:rsid w:val="00CC0F5C"/>
    <w:rsid w:val="00CC43F5"/>
    <w:rsid w:val="00CD3C55"/>
    <w:rsid w:val="00CE0179"/>
    <w:rsid w:val="00CE4A41"/>
    <w:rsid w:val="00CE68E2"/>
    <w:rsid w:val="00CF392C"/>
    <w:rsid w:val="00D02F88"/>
    <w:rsid w:val="00D03BB3"/>
    <w:rsid w:val="00D06765"/>
    <w:rsid w:val="00D117E9"/>
    <w:rsid w:val="00D242B8"/>
    <w:rsid w:val="00D31A7E"/>
    <w:rsid w:val="00D41A07"/>
    <w:rsid w:val="00D50661"/>
    <w:rsid w:val="00D50ACD"/>
    <w:rsid w:val="00D663B1"/>
    <w:rsid w:val="00D7596B"/>
    <w:rsid w:val="00D810C3"/>
    <w:rsid w:val="00D94E7F"/>
    <w:rsid w:val="00DB488B"/>
    <w:rsid w:val="00DB72E6"/>
    <w:rsid w:val="00DC1128"/>
    <w:rsid w:val="00DD1165"/>
    <w:rsid w:val="00DD6510"/>
    <w:rsid w:val="00DF2053"/>
    <w:rsid w:val="00DF3837"/>
    <w:rsid w:val="00E017B8"/>
    <w:rsid w:val="00E019EA"/>
    <w:rsid w:val="00E14A43"/>
    <w:rsid w:val="00E17F60"/>
    <w:rsid w:val="00E21700"/>
    <w:rsid w:val="00E235BE"/>
    <w:rsid w:val="00E3299C"/>
    <w:rsid w:val="00E35FB3"/>
    <w:rsid w:val="00E54AE3"/>
    <w:rsid w:val="00E75559"/>
    <w:rsid w:val="00E76BE8"/>
    <w:rsid w:val="00E7702D"/>
    <w:rsid w:val="00E829D2"/>
    <w:rsid w:val="00E84DA0"/>
    <w:rsid w:val="00E9706B"/>
    <w:rsid w:val="00EA6561"/>
    <w:rsid w:val="00EC75B0"/>
    <w:rsid w:val="00ED1118"/>
    <w:rsid w:val="00ED2444"/>
    <w:rsid w:val="00EE03E4"/>
    <w:rsid w:val="00EE5895"/>
    <w:rsid w:val="00EF0D9F"/>
    <w:rsid w:val="00EF7FDC"/>
    <w:rsid w:val="00F02073"/>
    <w:rsid w:val="00F03C0C"/>
    <w:rsid w:val="00F17C88"/>
    <w:rsid w:val="00F228D5"/>
    <w:rsid w:val="00F40E0E"/>
    <w:rsid w:val="00F5013E"/>
    <w:rsid w:val="00F60DA1"/>
    <w:rsid w:val="00F618F3"/>
    <w:rsid w:val="00F61A5B"/>
    <w:rsid w:val="00F636B5"/>
    <w:rsid w:val="00F667DF"/>
    <w:rsid w:val="00F7171E"/>
    <w:rsid w:val="00F7685D"/>
    <w:rsid w:val="00F77979"/>
    <w:rsid w:val="00F81A69"/>
    <w:rsid w:val="00F93C68"/>
    <w:rsid w:val="00FA1AC9"/>
    <w:rsid w:val="00FB6D1B"/>
    <w:rsid w:val="00FC5EBB"/>
    <w:rsid w:val="00FE222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3790CA83-CDAA-47B2-9056-F67566E6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A3081"/>
    <w:rPr>
      <w:sz w:val="20"/>
    </w:rPr>
  </w:style>
  <w:style w:type="character" w:customStyle="1" w:styleId="FootnoteTextChar">
    <w:name w:val="Footnote Text Char"/>
    <w:basedOn w:val="DefaultParagraphFont"/>
    <w:link w:val="FootnoteText"/>
    <w:uiPriority w:val="99"/>
    <w:semiHidden/>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A3081"/>
    <w:rPr>
      <w:vertAlign w:val="superscript"/>
    </w:rPr>
  </w:style>
  <w:style w:type="character" w:styleId="FollowedHyperlink">
    <w:name w:val="FollowedHyperlink"/>
    <w:basedOn w:val="DefaultParagraphFont"/>
    <w:uiPriority w:val="99"/>
    <w:semiHidden/>
    <w:unhideWhenUsed/>
    <w:rsid w:val="006348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conventions/full-list?module=treaty-detail&amp;treatynum=2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Pages>
  <Words>1054</Words>
  <Characters>6115</Characters>
  <Application>Microsoft Office Word</Application>
  <DocSecurity>0</DocSecurity>
  <Lines>50</Lines>
  <Paragraphs>14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Ettevõte</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Svea Žurba</dc:creator>
  <cp:lastModifiedBy>Merit Aavekukk-Tamm</cp:lastModifiedBy>
  <cp:revision>256</cp:revision>
  <cp:lastPrinted>2024-09-26T08:29:00Z</cp:lastPrinted>
  <dcterms:created xsi:type="dcterms:W3CDTF">2025-02-03T10:44:00Z</dcterms:created>
  <dcterms:modified xsi:type="dcterms:W3CDTF">2026-01-26T14:15:00Z</dcterms:modified>
</cp:coreProperties>
</file>